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both"/>
        <w:rPr>
          <w:rFonts w:ascii="Times New Roman" w:hAnsi="Times New Roman" w:eastAsia="Times New Roman" w:cs="Times New Roman"/>
          <w:b/>
          <w:kern w:val="28"/>
          <w:sz w:val="24"/>
          <w:szCs w:val="24"/>
          <w:lang w:val="en-AU" w:eastAsia="en-AU" w:bidi="ar-SA"/>
        </w:rPr>
      </w:pPr>
      <w:r>
        <w:rPr>
          <w:rFonts w:ascii="Times New Roman" w:hAnsi="Times New Roman" w:eastAsia="Times New Roman" w:cs="Times New Roman"/>
          <w:b/>
          <w:kern w:val="28"/>
          <w:sz w:val="24"/>
          <w:szCs w:val="24"/>
          <w:lang w:val="en-AU" w:eastAsia="en-AU" w:bidi="ar-SA"/>
        </w:rPr>
        <w:t>Introduction</w:t>
      </w:r>
    </w:p>
    <w:p>
      <w:pPr>
        <w:spacing w:after="0" w:line="360" w:lineRule="auto"/>
        <w:jc w:val="both"/>
        <w:rPr>
          <w:rFonts w:ascii="Times New Roman" w:hAnsi="Times New Roman" w:eastAsia="Times New Roman" w:cs="Times New Roman"/>
          <w:kern w:val="28"/>
          <w:sz w:val="24"/>
          <w:szCs w:val="24"/>
          <w:lang w:val="en-AU" w:eastAsia="en-AU" w:bidi="ar-SA"/>
        </w:rPr>
      </w:pPr>
      <w:r>
        <w:rPr>
          <w:rFonts w:ascii="Times New Roman" w:hAnsi="Times New Roman" w:eastAsia="Times New Roman" w:cs="Times New Roman"/>
          <w:kern w:val="28"/>
          <w:sz w:val="24"/>
          <w:szCs w:val="24"/>
          <w:lang w:val="en-AU" w:eastAsia="en-AU" w:bidi="ar-SA"/>
        </w:rPr>
        <w:t xml:space="preserve">The aim of this report is to provide the </w:t>
      </w:r>
      <w:bookmarkStart w:id="0" w:name="_GoBack"/>
      <w:r>
        <w:rPr>
          <w:rFonts w:ascii="Times New Roman" w:hAnsi="Times New Roman" w:eastAsia="Times New Roman" w:cs="Times New Roman"/>
          <w:kern w:val="28"/>
          <w:sz w:val="24"/>
          <w:szCs w:val="24"/>
          <w:lang w:val="en-AU" w:eastAsia="en-AU" w:bidi="ar-SA"/>
        </w:rPr>
        <w:t>projects</w:t>
      </w:r>
      <w:bookmarkEnd w:id="0"/>
      <w:r>
        <w:rPr>
          <w:rFonts w:ascii="Times New Roman" w:hAnsi="Times New Roman" w:eastAsia="Times New Roman" w:cs="Times New Roman"/>
          <w:kern w:val="28"/>
          <w:sz w:val="24"/>
          <w:szCs w:val="24"/>
          <w:lang w:val="en-AU" w:eastAsia="en-AU" w:bidi="ar-SA"/>
        </w:rPr>
        <w:t xml:space="preserve"> that suit the company’s following assumptions. They are the CAPEX of the approved project cannot be higher than $10 billion and every year, a total less than $4 billion should be spent on the projects. With the following as an aim, the first part of the study is carried out. The second part of the study, on the other hand, is quite different as some restrictions are imposed to determine the best projects for consideration based on the probability. The third part of this report will focus on identifying the suitable projects, therefore, the explanation regarding the approach taken in the report. </w:t>
      </w:r>
    </w:p>
    <w:p>
      <w:pPr>
        <w:spacing w:after="0" w:line="360" w:lineRule="auto"/>
        <w:jc w:val="both"/>
        <w:rPr>
          <w:rFonts w:ascii="Times New Roman" w:hAnsi="Times New Roman" w:eastAsia="Times New Roman" w:cs="Times New Roman"/>
          <w:b/>
          <w:kern w:val="28"/>
          <w:sz w:val="24"/>
          <w:szCs w:val="24"/>
          <w:lang w:val="en-AU" w:eastAsia="en-AU" w:bidi="ar-SA"/>
        </w:rPr>
      </w:pPr>
      <w:r>
        <w:rPr>
          <w:rFonts w:ascii="Times New Roman" w:hAnsi="Times New Roman" w:eastAsia="Times New Roman" w:cs="Times New Roman"/>
          <w:b/>
          <w:kern w:val="28"/>
          <w:sz w:val="24"/>
          <w:szCs w:val="24"/>
          <w:lang w:val="en-AU" w:eastAsia="en-AU" w:bidi="ar-SA"/>
        </w:rPr>
        <w:t>Part-A</w:t>
      </w:r>
    </w:p>
    <w:p>
      <w:pPr>
        <w:spacing w:after="0" w:line="360" w:lineRule="auto"/>
        <w:jc w:val="both"/>
        <w:rPr>
          <w:rFonts w:ascii="Times New Roman" w:hAnsi="Times New Roman" w:eastAsia="Times New Roman" w:cs="Times New Roman"/>
          <w:kern w:val="28"/>
          <w:sz w:val="24"/>
          <w:szCs w:val="24"/>
          <w:lang w:val="en-AU" w:eastAsia="en-AU" w:bidi="ar-SA"/>
        </w:rPr>
      </w:pPr>
      <w:r>
        <w:rPr>
          <w:rFonts w:ascii="Times New Roman" w:hAnsi="Times New Roman" w:eastAsia="Times New Roman" w:cs="Times New Roman"/>
          <w:kern w:val="28"/>
          <w:sz w:val="24"/>
          <w:szCs w:val="24"/>
          <w:lang w:val="en-AU" w:eastAsia="en-AU" w:bidi="ar-SA"/>
        </w:rPr>
        <w:t xml:space="preserve">The first step is about measuring the suitability of the projects when there is no uncertainty to consider. The best projects are selected based on the excel calculations such as NPV. </w:t>
      </w:r>
    </w:p>
    <w:p>
      <w:pPr>
        <w:spacing w:after="0" w:line="360" w:lineRule="auto"/>
        <w:jc w:val="both"/>
        <w:rPr>
          <w:rFonts w:ascii="Times New Roman" w:hAnsi="Times New Roman" w:eastAsia="Times New Roman" w:cs="Times New Roman"/>
          <w:b/>
          <w:kern w:val="28"/>
          <w:sz w:val="24"/>
          <w:szCs w:val="24"/>
          <w:lang w:val="en-AU" w:eastAsia="en-AU" w:bidi="ar-SA"/>
        </w:rPr>
      </w:pPr>
      <w:r>
        <w:rPr>
          <w:rFonts w:ascii="Times New Roman" w:hAnsi="Times New Roman" w:eastAsia="Times New Roman" w:cs="Times New Roman"/>
          <w:b/>
          <w:kern w:val="28"/>
          <w:sz w:val="24"/>
          <w:szCs w:val="24"/>
          <w:lang w:val="en-AU" w:eastAsia="en-AU" w:bidi="ar-SA"/>
        </w:rPr>
        <w:t>Best Sets of Cases to consider</w:t>
      </w:r>
    </w:p>
    <w:p>
      <w:pPr>
        <w:spacing w:after="0" w:line="360" w:lineRule="auto"/>
        <w:jc w:val="both"/>
        <w:rPr>
          <w:rFonts w:ascii="Times New Roman" w:hAnsi="Times New Roman" w:eastAsia="Times New Roman" w:cs="Times New Roman"/>
          <w:color w:val="000000"/>
          <w:sz w:val="24"/>
          <w:szCs w:val="24"/>
          <w:lang w:val="en-IN" w:eastAsia="en-IN" w:bidi="ar-SA"/>
        </w:rPr>
      </w:pPr>
      <w:r>
        <w:rPr>
          <w:rFonts w:ascii="Times New Roman" w:hAnsi="Times New Roman" w:eastAsia="Times New Roman" w:cs="Times New Roman"/>
          <w:kern w:val="28"/>
          <w:sz w:val="24"/>
          <w:szCs w:val="24"/>
          <w:lang w:val="en-AU" w:eastAsia="en-AU" w:bidi="ar-SA"/>
        </w:rPr>
        <w:t xml:space="preserve">The best cases to consider will be decided based on the NPV values measured. In order to determine that, the </w:t>
      </w:r>
      <w:r>
        <w:rPr>
          <w:rFonts w:ascii="Times New Roman" w:hAnsi="Times New Roman" w:eastAsia="Times New Roman" w:cs="Times New Roman"/>
          <w:color w:val="000000"/>
          <w:sz w:val="24"/>
          <w:szCs w:val="24"/>
          <w:lang w:val="en-IN" w:eastAsia="en-IN" w:bidi="ar-SA"/>
        </w:rPr>
        <w:t xml:space="preserve">NPV as % of total CAPEX ratio is considered to select the projects with higher NPV. If all 12 projects are considered, the best possible options can be these. The Projects selected are 4, 5, 7, 10 and 11. 4 and 5 belong to the Functional Area 1 and the projects 7 belong to the Functional Area 2. The projects 11 and 10 belong to the Functional Area 3. The following will be the CAPEX of the company and Functional Areas of the project.  </w:t>
      </w:r>
    </w:p>
    <w:p>
      <w:pPr>
        <w:keepNext/>
        <w:spacing w:after="0" w:line="360" w:lineRule="auto"/>
        <w:jc w:val="both"/>
      </w:pPr>
      <w:r>
        <w:rPr>
          <w:rFonts w:ascii="Times New Roman" w:hAnsi="Times New Roman" w:eastAsia="Times New Roman" w:cs="Times New Roman"/>
          <w:color w:val="000000"/>
          <w:sz w:val="24"/>
          <w:szCs w:val="24"/>
          <w:lang w:val="en-IN" w:eastAsia="en-IN" w:bidi="ar-SA"/>
        </w:rPr>
        <w:drawing>
          <wp:inline distT="0" distB="0" distL="0" distR="0">
            <wp:extent cx="4572000" cy="2743200"/>
            <wp:effectExtent l="19050" t="0" r="19050" b="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12"/>
        <w:jc w:val="both"/>
        <w:rPr>
          <w:rFonts w:ascii="Times New Roman" w:hAnsi="Times New Roman" w:eastAsia="Times New Roman" w:cs="Times New Roman"/>
          <w:color w:val="000000"/>
          <w:sz w:val="24"/>
          <w:szCs w:val="24"/>
          <w:lang w:val="en-IN" w:eastAsia="en-IN" w:bidi="ar-SA"/>
        </w:rPr>
      </w:pPr>
      <w:r>
        <w:t xml:space="preserve">Figure </w:t>
      </w:r>
      <w:r>
        <w:fldChar w:fldCharType="begin"/>
      </w:r>
      <w:r>
        <w:instrText xml:space="preserve"> SEQ Figure \* ARABIC </w:instrText>
      </w:r>
      <w:r>
        <w:fldChar w:fldCharType="separate"/>
      </w:r>
      <w:r>
        <w:t>1</w:t>
      </w:r>
      <w:r>
        <w:fldChar w:fldCharType="end"/>
      </w:r>
      <w:r>
        <w:t xml:space="preserve"> Part-A Analysis</w:t>
      </w:r>
    </w:p>
    <w:p>
      <w:pPr>
        <w:spacing w:after="0" w:line="360" w:lineRule="auto"/>
        <w:jc w:val="both"/>
        <w:rPr>
          <w:rFonts w:ascii="Times New Roman" w:hAnsi="Times New Roman" w:eastAsia="Times New Roman" w:cs="Times New Roman"/>
          <w:color w:val="000000"/>
          <w:sz w:val="24"/>
          <w:szCs w:val="24"/>
          <w:lang w:val="en-IN" w:eastAsia="en-IN" w:bidi="ar-SA"/>
        </w:rPr>
      </w:pPr>
    </w:p>
    <w:p>
      <w:pPr>
        <w:spacing w:after="0" w:line="360" w:lineRule="auto"/>
        <w:jc w:val="both"/>
        <w:rPr>
          <w:rFonts w:ascii="Times New Roman" w:hAnsi="Times New Roman" w:eastAsia="Times New Roman" w:cs="Times New Roman"/>
          <w:color w:val="000000"/>
          <w:sz w:val="24"/>
          <w:szCs w:val="24"/>
          <w:lang w:val="en-IN" w:eastAsia="en-IN" w:bidi="ar-SA"/>
        </w:rPr>
      </w:pPr>
      <w:r>
        <w:rPr>
          <w:rFonts w:ascii="Times New Roman" w:hAnsi="Times New Roman" w:eastAsia="Times New Roman" w:cs="Times New Roman"/>
          <w:color w:val="000000"/>
          <w:sz w:val="24"/>
          <w:szCs w:val="24"/>
          <w:lang w:val="en-IN" w:eastAsia="en-IN" w:bidi="ar-SA"/>
        </w:rPr>
        <w:t xml:space="preserve">The Projects has the following values as NPV. The highest NPV is for the project 7 with 22.8% of total CAPEX. </w:t>
      </w:r>
    </w:p>
    <w:p>
      <w:pPr>
        <w:spacing w:after="0" w:line="360" w:lineRule="auto"/>
        <w:jc w:val="both"/>
        <w:rPr>
          <w:rFonts w:ascii="Times New Roman" w:hAnsi="Times New Roman" w:eastAsia="Times New Roman" w:cs="Times New Roman"/>
          <w:color w:val="000000"/>
          <w:sz w:val="24"/>
          <w:szCs w:val="24"/>
          <w:lang w:val="en-IN" w:eastAsia="en-IN" w:bidi="ar-SA"/>
        </w:rPr>
      </w:pPr>
    </w:p>
    <w:p>
      <w:pPr>
        <w:pStyle w:val="12"/>
        <w:keepNext/>
      </w:pPr>
      <w:r>
        <w:t xml:space="preserve">Table </w:t>
      </w:r>
      <w:r>
        <w:fldChar w:fldCharType="begin"/>
      </w:r>
      <w:r>
        <w:instrText xml:space="preserve"> SEQ Table \* ARABIC </w:instrText>
      </w:r>
      <w:r>
        <w:fldChar w:fldCharType="separate"/>
      </w:r>
      <w:r>
        <w:t>1</w:t>
      </w:r>
      <w:r>
        <w:fldChar w:fldCharType="end"/>
      </w:r>
      <w:r>
        <w:t xml:space="preserve"> Part-A CAPEX NPV</w:t>
      </w:r>
    </w:p>
    <w:tbl>
      <w:tblPr>
        <w:tblStyle w:val="19"/>
        <w:tblW w:w="4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6"/>
        <w:gridCol w:w="1436"/>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036" w:type="dxa"/>
          </w:tcPr>
          <w:p>
            <w:pPr>
              <w:spacing w:after="0" w:line="360" w:lineRule="auto"/>
              <w:jc w:val="both"/>
              <w:rPr>
                <w:rFonts w:ascii="Times New Roman" w:hAnsi="Times New Roman" w:eastAsia="Times New Roman" w:cs="Times New Roman"/>
                <w:b/>
                <w:color w:val="000000"/>
                <w:sz w:val="24"/>
                <w:szCs w:val="24"/>
                <w:lang w:val="en-AU" w:eastAsia="en-IN" w:bidi="ar-SA"/>
              </w:rPr>
            </w:pPr>
            <w:r>
              <w:rPr>
                <w:rFonts w:ascii="Times New Roman" w:hAnsi="Times New Roman" w:eastAsia="Times New Roman" w:cs="Times New Roman"/>
                <w:b/>
                <w:color w:val="000000"/>
                <w:sz w:val="24"/>
                <w:szCs w:val="24"/>
                <w:lang w:val="en-AU" w:eastAsia="en-IN" w:bidi="ar-SA"/>
              </w:rPr>
              <w:t>Project Code</w:t>
            </w:r>
          </w:p>
        </w:tc>
        <w:tc>
          <w:tcPr>
            <w:tcW w:w="1436" w:type="dxa"/>
          </w:tcPr>
          <w:p>
            <w:pPr>
              <w:spacing w:after="0" w:line="360" w:lineRule="auto"/>
              <w:jc w:val="both"/>
              <w:rPr>
                <w:rFonts w:ascii="Times New Roman" w:hAnsi="Times New Roman" w:eastAsia="Times New Roman" w:cs="Times New Roman"/>
                <w:b/>
                <w:color w:val="000000"/>
                <w:sz w:val="24"/>
                <w:szCs w:val="24"/>
                <w:lang w:val="en-AU" w:eastAsia="en-IN" w:bidi="ar-SA"/>
              </w:rPr>
            </w:pPr>
            <w:r>
              <w:rPr>
                <w:rFonts w:ascii="Times New Roman" w:hAnsi="Times New Roman" w:eastAsia="Times New Roman" w:cs="Times New Roman"/>
                <w:b/>
                <w:color w:val="000000"/>
                <w:sz w:val="24"/>
                <w:szCs w:val="24"/>
                <w:lang w:val="en-AU" w:eastAsia="en-IN" w:bidi="ar-SA"/>
              </w:rPr>
              <w:t>NPV as % of total CAPEX</w:t>
            </w:r>
          </w:p>
        </w:tc>
        <w:tc>
          <w:tcPr>
            <w:tcW w:w="1436" w:type="dxa"/>
          </w:tcPr>
          <w:p>
            <w:pPr>
              <w:spacing w:after="0" w:line="360" w:lineRule="auto"/>
              <w:jc w:val="both"/>
              <w:rPr>
                <w:rFonts w:ascii="Times New Roman" w:hAnsi="Times New Roman" w:eastAsia="Times New Roman" w:cs="Times New Roman"/>
                <w:b/>
                <w:color w:val="000000"/>
                <w:sz w:val="24"/>
                <w:szCs w:val="24"/>
                <w:lang w:val="en-AU" w:eastAsia="en-IN" w:bidi="ar-SA"/>
              </w:rPr>
            </w:pPr>
            <w:r>
              <w:rPr>
                <w:rFonts w:ascii="Times New Roman" w:hAnsi="Times New Roman" w:eastAsia="Times New Roman" w:cs="Times New Roman"/>
                <w:b/>
                <w:color w:val="000000"/>
                <w:sz w:val="24"/>
                <w:szCs w:val="24"/>
                <w:lang w:val="en-AU" w:eastAsia="en-IN" w:bidi="ar-SA"/>
              </w:rPr>
              <w:t>NPV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036" w:type="dxa"/>
          </w:tcPr>
          <w:p>
            <w:pPr>
              <w:spacing w:after="0" w:line="360" w:lineRule="auto"/>
              <w:jc w:val="both"/>
              <w:rPr>
                <w:rFonts w:ascii="Times New Roman" w:hAnsi="Times New Roman" w:eastAsia="Times New Roman" w:cs="Times New Roman"/>
                <w:color w:val="000000"/>
                <w:sz w:val="24"/>
                <w:szCs w:val="24"/>
                <w:lang w:val="en-AU" w:eastAsia="en-IN" w:bidi="ar-SA"/>
              </w:rPr>
            </w:pPr>
            <w:r>
              <w:rPr>
                <w:rFonts w:ascii="Times New Roman" w:hAnsi="Times New Roman" w:eastAsia="Times New Roman" w:cs="Times New Roman"/>
                <w:color w:val="000000"/>
                <w:sz w:val="24"/>
                <w:szCs w:val="24"/>
                <w:lang w:val="en-AU" w:eastAsia="en-IN" w:bidi="ar-SA"/>
              </w:rPr>
              <w:t>4</w:t>
            </w:r>
          </w:p>
        </w:tc>
        <w:tc>
          <w:tcPr>
            <w:tcW w:w="1436" w:type="dxa"/>
          </w:tcPr>
          <w:p>
            <w:pPr>
              <w:spacing w:after="0" w:line="360" w:lineRule="auto"/>
              <w:jc w:val="both"/>
              <w:rPr>
                <w:rFonts w:ascii="Times New Roman" w:hAnsi="Times New Roman" w:eastAsia="Times New Roman" w:cs="Times New Roman"/>
                <w:color w:val="000000"/>
                <w:sz w:val="24"/>
                <w:szCs w:val="24"/>
                <w:lang w:val="en-AU" w:eastAsia="en-IN" w:bidi="ar-SA"/>
              </w:rPr>
            </w:pPr>
            <w:r>
              <w:rPr>
                <w:rFonts w:ascii="Times New Roman" w:hAnsi="Times New Roman" w:eastAsia="Times New Roman" w:cs="Times New Roman"/>
                <w:color w:val="000000"/>
                <w:sz w:val="24"/>
                <w:szCs w:val="24"/>
                <w:lang w:val="en-AU" w:eastAsia="en-IN" w:bidi="ar-SA"/>
              </w:rPr>
              <w:t>20.00%</w:t>
            </w:r>
          </w:p>
        </w:tc>
        <w:tc>
          <w:tcPr>
            <w:tcW w:w="1436" w:type="dxa"/>
            <w:vAlign w:val="bottom"/>
          </w:tcPr>
          <w:p>
            <w:pPr>
              <w:spacing w:after="0" w:line="360" w:lineRule="auto"/>
              <w:jc w:val="both"/>
              <w:rPr>
                <w:rFonts w:ascii="Times New Roman" w:hAnsi="Times New Roman" w:eastAsia="Times New Roman" w:cs="Times New Roman"/>
                <w:color w:val="000000"/>
                <w:kern w:val="28"/>
                <w:sz w:val="24"/>
                <w:szCs w:val="24"/>
                <w:lang w:val="en-AU" w:eastAsia="en-AU" w:bidi="ar-SA"/>
              </w:rPr>
            </w:pPr>
            <w:r>
              <w:rPr>
                <w:rFonts w:ascii="Times New Roman" w:hAnsi="Times New Roman" w:eastAsia="Times New Roman" w:cs="Times New Roman"/>
                <w:color w:val="000000"/>
                <w:kern w:val="28"/>
                <w:sz w:val="24"/>
                <w:szCs w:val="24"/>
                <w:lang w:val="en-AU" w:eastAsia="en-AU" w:bidi="ar-SA"/>
              </w:rPr>
              <w:t>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036" w:type="dxa"/>
          </w:tcPr>
          <w:p>
            <w:pPr>
              <w:spacing w:after="0" w:line="360" w:lineRule="auto"/>
              <w:jc w:val="both"/>
              <w:rPr>
                <w:rFonts w:ascii="Times New Roman" w:hAnsi="Times New Roman" w:eastAsia="Times New Roman" w:cs="Times New Roman"/>
                <w:color w:val="000000"/>
                <w:sz w:val="24"/>
                <w:szCs w:val="24"/>
                <w:lang w:val="en-AU" w:eastAsia="en-IN" w:bidi="ar-SA"/>
              </w:rPr>
            </w:pPr>
            <w:r>
              <w:rPr>
                <w:rFonts w:ascii="Times New Roman" w:hAnsi="Times New Roman" w:eastAsia="Times New Roman" w:cs="Times New Roman"/>
                <w:color w:val="000000"/>
                <w:sz w:val="24"/>
                <w:szCs w:val="24"/>
                <w:lang w:val="en-AU" w:eastAsia="en-IN" w:bidi="ar-SA"/>
              </w:rPr>
              <w:t>5</w:t>
            </w:r>
          </w:p>
        </w:tc>
        <w:tc>
          <w:tcPr>
            <w:tcW w:w="1436" w:type="dxa"/>
          </w:tcPr>
          <w:p>
            <w:pPr>
              <w:spacing w:after="0" w:line="360" w:lineRule="auto"/>
              <w:jc w:val="both"/>
              <w:rPr>
                <w:rFonts w:ascii="Times New Roman" w:hAnsi="Times New Roman" w:eastAsia="Times New Roman" w:cs="Times New Roman"/>
                <w:color w:val="000000"/>
                <w:sz w:val="24"/>
                <w:szCs w:val="24"/>
                <w:lang w:val="en-AU" w:eastAsia="en-IN" w:bidi="ar-SA"/>
              </w:rPr>
            </w:pPr>
            <w:r>
              <w:rPr>
                <w:rFonts w:ascii="Times New Roman" w:hAnsi="Times New Roman" w:eastAsia="Times New Roman" w:cs="Times New Roman"/>
                <w:color w:val="000000"/>
                <w:sz w:val="24"/>
                <w:szCs w:val="24"/>
                <w:lang w:val="en-AU" w:eastAsia="en-IN" w:bidi="ar-SA"/>
              </w:rPr>
              <w:t>15.70%</w:t>
            </w:r>
          </w:p>
        </w:tc>
        <w:tc>
          <w:tcPr>
            <w:tcW w:w="1436" w:type="dxa"/>
            <w:vAlign w:val="bottom"/>
          </w:tcPr>
          <w:p>
            <w:pPr>
              <w:spacing w:after="0" w:line="360" w:lineRule="auto"/>
              <w:jc w:val="both"/>
              <w:rPr>
                <w:rFonts w:ascii="Times New Roman" w:hAnsi="Times New Roman" w:eastAsia="Times New Roman" w:cs="Times New Roman"/>
                <w:color w:val="000000"/>
                <w:kern w:val="28"/>
                <w:sz w:val="24"/>
                <w:szCs w:val="24"/>
                <w:lang w:val="en-AU" w:eastAsia="en-AU" w:bidi="ar-SA"/>
              </w:rPr>
            </w:pPr>
            <w:r>
              <w:rPr>
                <w:rFonts w:ascii="Times New Roman" w:hAnsi="Times New Roman" w:eastAsia="Times New Roman" w:cs="Times New Roman"/>
                <w:color w:val="000000"/>
                <w:kern w:val="28"/>
                <w:sz w:val="24"/>
                <w:szCs w:val="24"/>
                <w:lang w:val="en-AU" w:eastAsia="en-AU" w:bidi="ar-SA"/>
              </w:rPr>
              <w:t>165.00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036" w:type="dxa"/>
          </w:tcPr>
          <w:p>
            <w:pPr>
              <w:spacing w:after="0" w:line="360" w:lineRule="auto"/>
              <w:jc w:val="both"/>
              <w:rPr>
                <w:rFonts w:ascii="Times New Roman" w:hAnsi="Times New Roman" w:eastAsia="Times New Roman" w:cs="Times New Roman"/>
                <w:color w:val="000000"/>
                <w:sz w:val="24"/>
                <w:szCs w:val="24"/>
                <w:lang w:val="en-AU" w:eastAsia="en-IN" w:bidi="ar-SA"/>
              </w:rPr>
            </w:pPr>
            <w:r>
              <w:rPr>
                <w:rFonts w:ascii="Times New Roman" w:hAnsi="Times New Roman" w:eastAsia="Times New Roman" w:cs="Times New Roman"/>
                <w:color w:val="000000"/>
                <w:sz w:val="24"/>
                <w:szCs w:val="24"/>
                <w:lang w:val="en-AU" w:eastAsia="en-IN" w:bidi="ar-SA"/>
              </w:rPr>
              <w:t>7</w:t>
            </w:r>
          </w:p>
        </w:tc>
        <w:tc>
          <w:tcPr>
            <w:tcW w:w="1436" w:type="dxa"/>
          </w:tcPr>
          <w:p>
            <w:pPr>
              <w:spacing w:after="0" w:line="360" w:lineRule="auto"/>
              <w:jc w:val="both"/>
              <w:rPr>
                <w:rFonts w:ascii="Times New Roman" w:hAnsi="Times New Roman" w:eastAsia="Times New Roman" w:cs="Times New Roman"/>
                <w:color w:val="000000"/>
                <w:sz w:val="24"/>
                <w:szCs w:val="24"/>
                <w:lang w:val="en-AU" w:eastAsia="en-IN" w:bidi="ar-SA"/>
              </w:rPr>
            </w:pPr>
            <w:r>
              <w:rPr>
                <w:rFonts w:ascii="Times New Roman" w:hAnsi="Times New Roman" w:eastAsia="Times New Roman" w:cs="Times New Roman"/>
                <w:color w:val="000000"/>
                <w:sz w:val="24"/>
                <w:szCs w:val="24"/>
                <w:lang w:val="en-AU" w:eastAsia="en-IN" w:bidi="ar-SA"/>
              </w:rPr>
              <w:t>22.80%</w:t>
            </w:r>
          </w:p>
        </w:tc>
        <w:tc>
          <w:tcPr>
            <w:tcW w:w="1436" w:type="dxa"/>
          </w:tcPr>
          <w:p>
            <w:pPr>
              <w:spacing w:after="0" w:line="360" w:lineRule="auto"/>
              <w:jc w:val="both"/>
              <w:rPr>
                <w:rFonts w:ascii="Times New Roman" w:hAnsi="Times New Roman" w:eastAsia="Times New Roman" w:cs="Times New Roman"/>
                <w:color w:val="000000"/>
                <w:sz w:val="24"/>
                <w:szCs w:val="24"/>
                <w:lang w:val="en-AU" w:eastAsia="en-IN" w:bidi="ar-SA"/>
              </w:rPr>
            </w:pPr>
            <w:r>
              <w:rPr>
                <w:rFonts w:ascii="Times New Roman" w:hAnsi="Times New Roman" w:eastAsia="Times New Roman" w:cs="Times New Roman"/>
                <w:color w:val="000000"/>
                <w:sz w:val="24"/>
                <w:szCs w:val="24"/>
                <w:lang w:val="en-AU" w:eastAsia="en-IN" w:bidi="ar-SA"/>
              </w:rPr>
              <w:t>410.00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036" w:type="dxa"/>
          </w:tcPr>
          <w:p>
            <w:pPr>
              <w:spacing w:after="0" w:line="360" w:lineRule="auto"/>
              <w:jc w:val="both"/>
              <w:rPr>
                <w:rFonts w:ascii="Times New Roman" w:hAnsi="Times New Roman" w:eastAsia="Times New Roman" w:cs="Times New Roman"/>
                <w:color w:val="000000"/>
                <w:sz w:val="24"/>
                <w:szCs w:val="24"/>
                <w:lang w:val="en-AU" w:eastAsia="en-IN" w:bidi="ar-SA"/>
              </w:rPr>
            </w:pPr>
            <w:r>
              <w:rPr>
                <w:rFonts w:ascii="Times New Roman" w:hAnsi="Times New Roman" w:eastAsia="Times New Roman" w:cs="Times New Roman"/>
                <w:color w:val="000000"/>
                <w:sz w:val="24"/>
                <w:szCs w:val="24"/>
                <w:lang w:val="en-AU" w:eastAsia="en-IN" w:bidi="ar-SA"/>
              </w:rPr>
              <w:t>10</w:t>
            </w:r>
          </w:p>
        </w:tc>
        <w:tc>
          <w:tcPr>
            <w:tcW w:w="1436" w:type="dxa"/>
          </w:tcPr>
          <w:p>
            <w:pPr>
              <w:spacing w:after="0" w:line="360" w:lineRule="auto"/>
              <w:jc w:val="both"/>
              <w:rPr>
                <w:rFonts w:ascii="Times New Roman" w:hAnsi="Times New Roman" w:eastAsia="Times New Roman" w:cs="Times New Roman"/>
                <w:color w:val="000000"/>
                <w:sz w:val="24"/>
                <w:szCs w:val="24"/>
                <w:lang w:val="en-AU" w:eastAsia="en-IN" w:bidi="ar-SA"/>
              </w:rPr>
            </w:pPr>
            <w:r>
              <w:rPr>
                <w:rFonts w:ascii="Times New Roman" w:hAnsi="Times New Roman" w:eastAsia="Times New Roman" w:cs="Times New Roman"/>
                <w:color w:val="000000"/>
                <w:sz w:val="24"/>
                <w:szCs w:val="24"/>
                <w:lang w:val="en-AU" w:eastAsia="en-IN" w:bidi="ar-SA"/>
              </w:rPr>
              <w:t>14.30%</w:t>
            </w:r>
          </w:p>
        </w:tc>
        <w:tc>
          <w:tcPr>
            <w:tcW w:w="1436" w:type="dxa"/>
          </w:tcPr>
          <w:p>
            <w:pPr>
              <w:spacing w:after="0" w:line="360" w:lineRule="auto"/>
              <w:jc w:val="both"/>
              <w:rPr>
                <w:rFonts w:ascii="Times New Roman" w:hAnsi="Times New Roman" w:eastAsia="Times New Roman" w:cs="Times New Roman"/>
                <w:color w:val="000000"/>
                <w:sz w:val="24"/>
                <w:szCs w:val="24"/>
                <w:lang w:val="en-AU" w:eastAsia="en-IN" w:bidi="ar-SA"/>
              </w:rPr>
            </w:pPr>
            <w:r>
              <w:rPr>
                <w:rFonts w:ascii="Times New Roman" w:hAnsi="Times New Roman" w:eastAsia="Times New Roman" w:cs="Times New Roman"/>
                <w:color w:val="000000"/>
                <w:sz w:val="24"/>
                <w:szCs w:val="24"/>
                <w:lang w:val="en-AU" w:eastAsia="en-IN" w:bidi="ar-SA"/>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036" w:type="dxa"/>
          </w:tcPr>
          <w:p>
            <w:pPr>
              <w:spacing w:after="0" w:line="360" w:lineRule="auto"/>
              <w:jc w:val="both"/>
              <w:rPr>
                <w:rFonts w:ascii="Times New Roman" w:hAnsi="Times New Roman" w:eastAsia="Times New Roman" w:cs="Times New Roman"/>
                <w:color w:val="000000"/>
                <w:sz w:val="24"/>
                <w:szCs w:val="24"/>
                <w:lang w:val="en-AU" w:eastAsia="en-IN" w:bidi="ar-SA"/>
              </w:rPr>
            </w:pPr>
            <w:r>
              <w:rPr>
                <w:rFonts w:ascii="Times New Roman" w:hAnsi="Times New Roman" w:eastAsia="Times New Roman" w:cs="Times New Roman"/>
                <w:color w:val="000000"/>
                <w:sz w:val="24"/>
                <w:szCs w:val="24"/>
                <w:lang w:val="en-AU" w:eastAsia="en-IN" w:bidi="ar-SA"/>
              </w:rPr>
              <w:t>11</w:t>
            </w:r>
          </w:p>
        </w:tc>
        <w:tc>
          <w:tcPr>
            <w:tcW w:w="1436" w:type="dxa"/>
          </w:tcPr>
          <w:p>
            <w:pPr>
              <w:spacing w:after="0" w:line="360" w:lineRule="auto"/>
              <w:jc w:val="both"/>
              <w:rPr>
                <w:rFonts w:ascii="Times New Roman" w:hAnsi="Times New Roman" w:eastAsia="Times New Roman" w:cs="Times New Roman"/>
                <w:color w:val="000000"/>
                <w:sz w:val="24"/>
                <w:szCs w:val="24"/>
                <w:lang w:val="en-AU" w:eastAsia="en-IN" w:bidi="ar-SA"/>
              </w:rPr>
            </w:pPr>
            <w:r>
              <w:rPr>
                <w:rFonts w:ascii="Times New Roman" w:hAnsi="Times New Roman" w:eastAsia="Times New Roman" w:cs="Times New Roman"/>
                <w:color w:val="000000"/>
                <w:sz w:val="24"/>
                <w:szCs w:val="24"/>
                <w:lang w:val="en-AU" w:eastAsia="en-IN" w:bidi="ar-SA"/>
              </w:rPr>
              <w:t>17.30%</w:t>
            </w:r>
          </w:p>
        </w:tc>
        <w:tc>
          <w:tcPr>
            <w:tcW w:w="1436" w:type="dxa"/>
          </w:tcPr>
          <w:p>
            <w:pPr>
              <w:keepNext/>
              <w:spacing w:after="0" w:line="360" w:lineRule="auto"/>
              <w:jc w:val="both"/>
              <w:rPr>
                <w:rFonts w:ascii="Times New Roman" w:hAnsi="Times New Roman" w:eastAsia="Times New Roman" w:cs="Times New Roman"/>
                <w:color w:val="000000"/>
                <w:sz w:val="24"/>
                <w:szCs w:val="24"/>
                <w:lang w:val="en-AU" w:eastAsia="en-IN" w:bidi="ar-SA"/>
              </w:rPr>
            </w:pPr>
            <w:r>
              <w:rPr>
                <w:rFonts w:ascii="Times New Roman" w:hAnsi="Times New Roman" w:eastAsia="Times New Roman" w:cs="Times New Roman"/>
                <w:color w:val="000000"/>
                <w:sz w:val="24"/>
                <w:szCs w:val="24"/>
                <w:lang w:val="en-AU" w:eastAsia="en-IN" w:bidi="ar-SA"/>
              </w:rPr>
              <w:t>130.00</w:t>
            </w:r>
          </w:p>
        </w:tc>
      </w:tr>
    </w:tbl>
    <w:p>
      <w:pPr>
        <w:pStyle w:val="12"/>
        <w:rPr>
          <w:rFonts w:ascii="Times New Roman" w:hAnsi="Times New Roman" w:eastAsia="Times New Roman" w:cs="Times New Roman"/>
          <w:color w:val="000000"/>
          <w:sz w:val="24"/>
          <w:szCs w:val="24"/>
          <w:lang w:val="en-IN" w:eastAsia="en-IN" w:bidi="ar-SA"/>
        </w:rPr>
      </w:pPr>
    </w:p>
    <w:p>
      <w:pPr>
        <w:spacing w:after="0" w:line="360" w:lineRule="auto"/>
        <w:jc w:val="both"/>
        <w:rPr>
          <w:rFonts w:ascii="Times New Roman" w:hAnsi="Times New Roman" w:eastAsia="Times New Roman" w:cs="Times New Roman"/>
          <w:b/>
          <w:color w:val="000000"/>
          <w:sz w:val="24"/>
          <w:szCs w:val="24"/>
          <w:lang w:val="en-IN" w:eastAsia="en-IN" w:bidi="ar-SA"/>
        </w:rPr>
      </w:pPr>
      <w:r>
        <w:rPr>
          <w:rFonts w:ascii="Times New Roman" w:hAnsi="Times New Roman" w:eastAsia="Times New Roman" w:cs="Times New Roman"/>
          <w:b/>
          <w:color w:val="000000"/>
          <w:sz w:val="24"/>
          <w:szCs w:val="24"/>
          <w:lang w:val="en-IN" w:eastAsia="en-IN" w:bidi="ar-SA"/>
        </w:rPr>
        <w:t>Part-B</w:t>
      </w:r>
    </w:p>
    <w:p>
      <w:pPr>
        <w:spacing w:line="360" w:lineRule="auto"/>
        <w:jc w:val="both"/>
        <w:rPr>
          <w:rFonts w:ascii="Times New Roman" w:hAnsi="Times New Roman" w:eastAsia="Times New Roman" w:cs="Times New Roman"/>
          <w:color w:val="000000"/>
          <w:sz w:val="24"/>
          <w:szCs w:val="24"/>
          <w:lang w:val="en-IN" w:eastAsia="en-IN" w:bidi="ar-SA"/>
        </w:rPr>
      </w:pPr>
      <w:r>
        <w:rPr>
          <w:rFonts w:ascii="Times New Roman" w:hAnsi="Times New Roman" w:eastAsia="Times New Roman" w:cs="Times New Roman"/>
          <w:color w:val="000000"/>
          <w:sz w:val="24"/>
          <w:szCs w:val="24"/>
          <w:lang w:val="en-IN" w:eastAsia="en-IN" w:bidi="ar-SA"/>
        </w:rPr>
        <w:t>This part started with the 15% below and 30% above the most likely Capex limit for the project is considered. The minimum and maximum value allocated for the NPV, on the other hand, is 15% and 20%. The beta-PERT model is identified as a suitable model and it is used for the analysis. The probability distribution of the NPV is simulated with the help of simulation tools. The following will act as the histogram for the analysis.</w:t>
      </w:r>
      <w:r>
        <w:t xml:space="preserve"> </w:t>
      </w:r>
      <w:r>
        <w:rPr>
          <w:rFonts w:ascii="Times New Roman" w:hAnsi="Times New Roman" w:eastAsia="Times New Roman" w:cs="Times New Roman"/>
          <w:color w:val="000000"/>
          <w:sz w:val="24"/>
          <w:szCs w:val="24"/>
          <w:lang w:val="en-IN" w:eastAsia="en-IN" w:bidi="ar-SA"/>
        </w:rPr>
        <w:t xml:space="preserve">The projects selected from the question 1 are 4, 5, 7, 10 and 11. And the following are the NPV identified. </w:t>
      </w:r>
    </w:p>
    <w:p>
      <w:pPr>
        <w:pStyle w:val="12"/>
        <w:keepNext/>
      </w:pPr>
      <w:r>
        <w:t xml:space="preserve">Table </w:t>
      </w:r>
      <w:r>
        <w:fldChar w:fldCharType="begin"/>
      </w:r>
      <w:r>
        <w:instrText xml:space="preserve"> SEQ Table \* ARABIC </w:instrText>
      </w:r>
      <w:r>
        <w:fldChar w:fldCharType="separate"/>
      </w:r>
      <w:r>
        <w:t>2</w:t>
      </w:r>
      <w:r>
        <w:fldChar w:fldCharType="end"/>
      </w:r>
      <w:r>
        <w:t xml:space="preserve"> Part-B NPV</w:t>
      </w:r>
    </w:p>
    <w:tbl>
      <w:tblPr>
        <w:tblStyle w:val="19"/>
        <w:tblW w:w="3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6"/>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036" w:type="dxa"/>
          </w:tcPr>
          <w:p>
            <w:pPr>
              <w:spacing w:after="0" w:line="360" w:lineRule="auto"/>
              <w:jc w:val="both"/>
              <w:rPr>
                <w:rFonts w:ascii="Times New Roman" w:hAnsi="Times New Roman" w:eastAsia="Times New Roman" w:cs="Times New Roman"/>
                <w:b/>
                <w:color w:val="000000"/>
                <w:sz w:val="24"/>
                <w:szCs w:val="24"/>
                <w:lang w:val="en-AU" w:eastAsia="en-IN" w:bidi="ar-SA"/>
              </w:rPr>
            </w:pPr>
            <w:r>
              <w:rPr>
                <w:rFonts w:ascii="Times New Roman" w:hAnsi="Times New Roman" w:eastAsia="Times New Roman" w:cs="Times New Roman"/>
                <w:b/>
                <w:color w:val="000000"/>
                <w:sz w:val="24"/>
                <w:szCs w:val="24"/>
                <w:lang w:val="en-AU" w:eastAsia="en-IN" w:bidi="ar-SA"/>
              </w:rPr>
              <w:t>Project Code</w:t>
            </w:r>
          </w:p>
        </w:tc>
        <w:tc>
          <w:tcPr>
            <w:tcW w:w="1436" w:type="dxa"/>
          </w:tcPr>
          <w:p>
            <w:pPr>
              <w:spacing w:after="0" w:line="360" w:lineRule="auto"/>
              <w:jc w:val="both"/>
              <w:rPr>
                <w:rFonts w:ascii="Times New Roman" w:hAnsi="Times New Roman" w:eastAsia="Times New Roman" w:cs="Times New Roman"/>
                <w:b/>
                <w:color w:val="000000"/>
                <w:sz w:val="24"/>
                <w:szCs w:val="24"/>
                <w:lang w:val="en-AU" w:eastAsia="en-IN" w:bidi="ar-SA"/>
              </w:rPr>
            </w:pPr>
            <w:r>
              <w:rPr>
                <w:rFonts w:ascii="Times New Roman" w:hAnsi="Times New Roman" w:eastAsia="Times New Roman" w:cs="Times New Roman"/>
                <w:b/>
                <w:color w:val="000000"/>
                <w:sz w:val="24"/>
                <w:szCs w:val="24"/>
                <w:lang w:val="en-AU" w:eastAsia="en-IN" w:bidi="ar-SA"/>
              </w:rPr>
              <w:t>NPV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036" w:type="dxa"/>
          </w:tcPr>
          <w:p>
            <w:pPr>
              <w:spacing w:after="0" w:line="360" w:lineRule="auto"/>
              <w:jc w:val="both"/>
              <w:rPr>
                <w:rFonts w:ascii="Times New Roman" w:hAnsi="Times New Roman" w:eastAsia="Times New Roman" w:cs="Times New Roman"/>
                <w:color w:val="000000"/>
                <w:sz w:val="24"/>
                <w:szCs w:val="24"/>
                <w:lang w:val="en-AU" w:eastAsia="en-IN" w:bidi="ar-SA"/>
              </w:rPr>
            </w:pPr>
            <w:r>
              <w:rPr>
                <w:rFonts w:ascii="Times New Roman" w:hAnsi="Times New Roman" w:eastAsia="Times New Roman" w:cs="Times New Roman"/>
                <w:color w:val="000000"/>
                <w:sz w:val="24"/>
                <w:szCs w:val="24"/>
                <w:lang w:val="en-AU" w:eastAsia="en-IN" w:bidi="ar-SA"/>
              </w:rPr>
              <w:t>4</w:t>
            </w:r>
          </w:p>
        </w:tc>
        <w:tc>
          <w:tcPr>
            <w:tcW w:w="1436" w:type="dxa"/>
            <w:vAlign w:val="bottom"/>
          </w:tcPr>
          <w:p>
            <w:pPr>
              <w:spacing w:after="0" w:line="360" w:lineRule="auto"/>
              <w:jc w:val="both"/>
              <w:rPr>
                <w:rFonts w:ascii="Times New Roman" w:hAnsi="Times New Roman" w:eastAsia="Times New Roman" w:cs="Times New Roman"/>
                <w:color w:val="000000"/>
                <w:kern w:val="28"/>
                <w:sz w:val="24"/>
                <w:szCs w:val="24"/>
                <w:lang w:val="en-AU" w:eastAsia="en-AU" w:bidi="ar-SA"/>
              </w:rPr>
            </w:pPr>
            <w:r>
              <w:rPr>
                <w:rFonts w:ascii="Times New Roman" w:hAnsi="Times New Roman" w:eastAsia="Times New Roman" w:cs="Times New Roman"/>
                <w:color w:val="000000"/>
                <w:kern w:val="28"/>
                <w:sz w:val="24"/>
                <w:szCs w:val="24"/>
                <w:lang w:val="en-AU" w:eastAsia="en-AU" w:bidi="ar-SA"/>
              </w:rPr>
              <w:t>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036" w:type="dxa"/>
          </w:tcPr>
          <w:p>
            <w:pPr>
              <w:spacing w:after="0" w:line="360" w:lineRule="auto"/>
              <w:jc w:val="both"/>
              <w:rPr>
                <w:rFonts w:ascii="Times New Roman" w:hAnsi="Times New Roman" w:eastAsia="Times New Roman" w:cs="Times New Roman"/>
                <w:color w:val="000000"/>
                <w:sz w:val="24"/>
                <w:szCs w:val="24"/>
                <w:lang w:val="en-AU" w:eastAsia="en-IN" w:bidi="ar-SA"/>
              </w:rPr>
            </w:pPr>
            <w:r>
              <w:rPr>
                <w:rFonts w:ascii="Times New Roman" w:hAnsi="Times New Roman" w:eastAsia="Times New Roman" w:cs="Times New Roman"/>
                <w:color w:val="000000"/>
                <w:sz w:val="24"/>
                <w:szCs w:val="24"/>
                <w:lang w:val="en-AU" w:eastAsia="en-IN" w:bidi="ar-SA"/>
              </w:rPr>
              <w:t>5</w:t>
            </w:r>
          </w:p>
        </w:tc>
        <w:tc>
          <w:tcPr>
            <w:tcW w:w="1436" w:type="dxa"/>
            <w:vAlign w:val="bottom"/>
          </w:tcPr>
          <w:p>
            <w:pPr>
              <w:spacing w:after="0" w:line="360" w:lineRule="auto"/>
              <w:jc w:val="both"/>
              <w:rPr>
                <w:rFonts w:ascii="Times New Roman" w:hAnsi="Times New Roman" w:eastAsia="Times New Roman" w:cs="Times New Roman"/>
                <w:color w:val="000000"/>
                <w:kern w:val="28"/>
                <w:sz w:val="24"/>
                <w:szCs w:val="24"/>
                <w:lang w:val="en-AU" w:eastAsia="en-AU" w:bidi="ar-SA"/>
              </w:rPr>
            </w:pPr>
            <w:r>
              <w:rPr>
                <w:rFonts w:ascii="Times New Roman" w:hAnsi="Times New Roman" w:eastAsia="Times New Roman" w:cs="Times New Roman"/>
                <w:color w:val="000000"/>
                <w:kern w:val="28"/>
                <w:sz w:val="24"/>
                <w:szCs w:val="24"/>
                <w:lang w:val="en-AU" w:eastAsia="en-AU" w:bidi="ar-SA"/>
              </w:rPr>
              <w:t>165.00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036" w:type="dxa"/>
          </w:tcPr>
          <w:p>
            <w:pPr>
              <w:spacing w:after="0" w:line="360" w:lineRule="auto"/>
              <w:jc w:val="both"/>
              <w:rPr>
                <w:rFonts w:ascii="Times New Roman" w:hAnsi="Times New Roman" w:eastAsia="Times New Roman" w:cs="Times New Roman"/>
                <w:color w:val="000000"/>
                <w:sz w:val="24"/>
                <w:szCs w:val="24"/>
                <w:lang w:val="en-AU" w:eastAsia="en-IN" w:bidi="ar-SA"/>
              </w:rPr>
            </w:pPr>
            <w:r>
              <w:rPr>
                <w:rFonts w:ascii="Times New Roman" w:hAnsi="Times New Roman" w:eastAsia="Times New Roman" w:cs="Times New Roman"/>
                <w:color w:val="000000"/>
                <w:sz w:val="24"/>
                <w:szCs w:val="24"/>
                <w:lang w:val="en-AU" w:eastAsia="en-IN" w:bidi="ar-SA"/>
              </w:rPr>
              <w:t>7</w:t>
            </w:r>
          </w:p>
        </w:tc>
        <w:tc>
          <w:tcPr>
            <w:tcW w:w="1436" w:type="dxa"/>
          </w:tcPr>
          <w:p>
            <w:pPr>
              <w:spacing w:after="0" w:line="360" w:lineRule="auto"/>
              <w:jc w:val="both"/>
              <w:rPr>
                <w:rFonts w:ascii="Times New Roman" w:hAnsi="Times New Roman" w:eastAsia="Times New Roman" w:cs="Times New Roman"/>
                <w:color w:val="000000"/>
                <w:sz w:val="24"/>
                <w:szCs w:val="24"/>
                <w:lang w:val="en-AU" w:eastAsia="en-IN" w:bidi="ar-SA"/>
              </w:rPr>
            </w:pPr>
            <w:r>
              <w:rPr>
                <w:rFonts w:ascii="Times New Roman" w:hAnsi="Times New Roman" w:eastAsia="Times New Roman" w:cs="Times New Roman"/>
                <w:color w:val="000000"/>
                <w:sz w:val="24"/>
                <w:szCs w:val="24"/>
                <w:lang w:val="en-AU" w:eastAsia="en-IN" w:bidi="ar-SA"/>
              </w:rPr>
              <w:t>410.00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036" w:type="dxa"/>
          </w:tcPr>
          <w:p>
            <w:pPr>
              <w:spacing w:after="0" w:line="360" w:lineRule="auto"/>
              <w:jc w:val="both"/>
              <w:rPr>
                <w:rFonts w:ascii="Times New Roman" w:hAnsi="Times New Roman" w:eastAsia="Times New Roman" w:cs="Times New Roman"/>
                <w:color w:val="000000"/>
                <w:sz w:val="24"/>
                <w:szCs w:val="24"/>
                <w:lang w:val="en-AU" w:eastAsia="en-IN" w:bidi="ar-SA"/>
              </w:rPr>
            </w:pPr>
            <w:r>
              <w:rPr>
                <w:rFonts w:ascii="Times New Roman" w:hAnsi="Times New Roman" w:eastAsia="Times New Roman" w:cs="Times New Roman"/>
                <w:color w:val="000000"/>
                <w:sz w:val="24"/>
                <w:szCs w:val="24"/>
                <w:lang w:val="en-AU" w:eastAsia="en-IN" w:bidi="ar-SA"/>
              </w:rPr>
              <w:t>10</w:t>
            </w:r>
          </w:p>
        </w:tc>
        <w:tc>
          <w:tcPr>
            <w:tcW w:w="1436" w:type="dxa"/>
          </w:tcPr>
          <w:p>
            <w:pPr>
              <w:spacing w:after="0" w:line="360" w:lineRule="auto"/>
              <w:jc w:val="both"/>
              <w:rPr>
                <w:rFonts w:ascii="Times New Roman" w:hAnsi="Times New Roman" w:eastAsia="Times New Roman" w:cs="Times New Roman"/>
                <w:color w:val="000000"/>
                <w:sz w:val="24"/>
                <w:szCs w:val="24"/>
                <w:lang w:val="en-AU" w:eastAsia="en-IN" w:bidi="ar-SA"/>
              </w:rPr>
            </w:pPr>
            <w:r>
              <w:rPr>
                <w:rFonts w:ascii="Times New Roman" w:hAnsi="Times New Roman" w:eastAsia="Times New Roman" w:cs="Times New Roman"/>
                <w:color w:val="000000"/>
                <w:sz w:val="24"/>
                <w:szCs w:val="24"/>
                <w:lang w:val="en-AU" w:eastAsia="en-IN" w:bidi="ar-SA"/>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036" w:type="dxa"/>
          </w:tcPr>
          <w:p>
            <w:pPr>
              <w:spacing w:after="0" w:line="360" w:lineRule="auto"/>
              <w:jc w:val="both"/>
              <w:rPr>
                <w:rFonts w:ascii="Times New Roman" w:hAnsi="Times New Roman" w:eastAsia="Times New Roman" w:cs="Times New Roman"/>
                <w:color w:val="000000"/>
                <w:sz w:val="24"/>
                <w:szCs w:val="24"/>
                <w:lang w:val="en-AU" w:eastAsia="en-IN" w:bidi="ar-SA"/>
              </w:rPr>
            </w:pPr>
            <w:r>
              <w:rPr>
                <w:rFonts w:ascii="Times New Roman" w:hAnsi="Times New Roman" w:eastAsia="Times New Roman" w:cs="Times New Roman"/>
                <w:color w:val="000000"/>
                <w:sz w:val="24"/>
                <w:szCs w:val="24"/>
                <w:lang w:val="en-AU" w:eastAsia="en-IN" w:bidi="ar-SA"/>
              </w:rPr>
              <w:t>11</w:t>
            </w:r>
          </w:p>
        </w:tc>
        <w:tc>
          <w:tcPr>
            <w:tcW w:w="1436" w:type="dxa"/>
          </w:tcPr>
          <w:p>
            <w:pPr>
              <w:spacing w:after="0" w:line="360" w:lineRule="auto"/>
              <w:jc w:val="both"/>
              <w:rPr>
                <w:rFonts w:ascii="Times New Roman" w:hAnsi="Times New Roman" w:eastAsia="Times New Roman" w:cs="Times New Roman"/>
                <w:color w:val="000000"/>
                <w:sz w:val="24"/>
                <w:szCs w:val="24"/>
                <w:lang w:val="en-AU" w:eastAsia="en-IN" w:bidi="ar-SA"/>
              </w:rPr>
            </w:pPr>
            <w:r>
              <w:rPr>
                <w:rFonts w:ascii="Times New Roman" w:hAnsi="Times New Roman" w:eastAsia="Times New Roman" w:cs="Times New Roman"/>
                <w:color w:val="000000"/>
                <w:sz w:val="24"/>
                <w:szCs w:val="24"/>
                <w:lang w:val="en-AU" w:eastAsia="en-IN" w:bidi="ar-SA"/>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036" w:type="dxa"/>
          </w:tcPr>
          <w:p>
            <w:pPr>
              <w:spacing w:after="0" w:line="360" w:lineRule="auto"/>
              <w:jc w:val="both"/>
              <w:rPr>
                <w:rFonts w:ascii="Times New Roman" w:hAnsi="Times New Roman" w:eastAsia="Times New Roman" w:cs="Times New Roman"/>
                <w:color w:val="000000"/>
                <w:sz w:val="24"/>
                <w:szCs w:val="24"/>
                <w:lang w:val="en-AU" w:eastAsia="en-IN" w:bidi="ar-SA"/>
              </w:rPr>
            </w:pPr>
            <w:r>
              <w:rPr>
                <w:rFonts w:ascii="Times New Roman" w:hAnsi="Times New Roman" w:eastAsia="Times New Roman" w:cs="Times New Roman"/>
                <w:color w:val="000000"/>
                <w:sz w:val="24"/>
                <w:szCs w:val="24"/>
                <w:lang w:val="en-AU" w:eastAsia="en-IN" w:bidi="ar-SA"/>
              </w:rPr>
              <w:t>Total</w:t>
            </w:r>
          </w:p>
        </w:tc>
        <w:tc>
          <w:tcPr>
            <w:tcW w:w="1436" w:type="dxa"/>
          </w:tcPr>
          <w:p>
            <w:pPr>
              <w:keepNext/>
              <w:spacing w:after="0" w:line="360" w:lineRule="auto"/>
              <w:jc w:val="both"/>
              <w:rPr>
                <w:rFonts w:ascii="Times New Roman" w:hAnsi="Times New Roman" w:eastAsia="Times New Roman" w:cs="Times New Roman"/>
                <w:color w:val="000000"/>
                <w:sz w:val="24"/>
                <w:szCs w:val="24"/>
                <w:lang w:val="en-AU" w:eastAsia="en-IN" w:bidi="ar-SA"/>
              </w:rPr>
            </w:pPr>
            <w:r>
              <w:rPr>
                <w:rFonts w:ascii="Times New Roman" w:hAnsi="Times New Roman" w:eastAsia="Times New Roman" w:cs="Times New Roman"/>
                <w:color w:val="000000"/>
                <w:sz w:val="24"/>
                <w:szCs w:val="24"/>
                <w:lang w:val="en-AU" w:eastAsia="en-IN" w:bidi="ar-SA"/>
              </w:rPr>
              <w:t>1115.00</w:t>
            </w:r>
          </w:p>
        </w:tc>
      </w:tr>
    </w:tbl>
    <w:p>
      <w:pPr>
        <w:pStyle w:val="12"/>
        <w:rPr>
          <w:rFonts w:ascii="Times New Roman" w:hAnsi="Times New Roman" w:eastAsia="Times New Roman" w:cs="Times New Roman"/>
          <w:color w:val="000000"/>
          <w:sz w:val="24"/>
          <w:szCs w:val="24"/>
          <w:lang w:val="en-IN" w:eastAsia="en-IN" w:bidi="ar-SA"/>
        </w:rPr>
      </w:pPr>
    </w:p>
    <w:p>
      <w:pPr>
        <w:spacing w:line="360" w:lineRule="auto"/>
        <w:jc w:val="both"/>
        <w:rPr>
          <w:rFonts w:ascii="Times New Roman" w:hAnsi="Times New Roman" w:eastAsia="Times New Roman" w:cs="Times New Roman"/>
          <w:color w:val="000000"/>
          <w:sz w:val="24"/>
          <w:szCs w:val="24"/>
          <w:lang w:val="en-IN" w:eastAsia="en-IN" w:bidi="ar-SA"/>
        </w:rPr>
      </w:pPr>
      <w:r>
        <w:rPr>
          <w:rFonts w:ascii="Times New Roman" w:hAnsi="Times New Roman" w:eastAsia="Times New Roman" w:cs="Times New Roman"/>
          <w:color w:val="000000"/>
          <w:sz w:val="24"/>
          <w:szCs w:val="24"/>
          <w:lang w:val="en-IN" w:eastAsia="en-IN" w:bidi="ar-SA"/>
        </w:rPr>
        <w:t xml:space="preserve">The minimum value of the NPV here is for the project 10 where the NPV is 100. The Maximum NPV is for the case is 410 million. The total worth of the projects undertaken is closer to 1.15 billion. </w:t>
      </w:r>
    </w:p>
    <w:p>
      <w:pPr>
        <w:keepNext/>
        <w:spacing w:line="360" w:lineRule="auto"/>
        <w:jc w:val="both"/>
      </w:pPr>
      <w:r>
        <w:rPr>
          <w:rFonts w:ascii="Times New Roman" w:hAnsi="Times New Roman" w:eastAsia="Times New Roman" w:cs="Times New Roman"/>
          <w:color w:val="000000"/>
          <w:sz w:val="24"/>
          <w:szCs w:val="24"/>
          <w:lang w:val="en-IN" w:eastAsia="en-IN" w:bidi="ar-SA"/>
        </w:rPr>
        <w:tab/>
      </w:r>
      <w:r>
        <w:rPr>
          <w:rFonts w:ascii="Times New Roman" w:hAnsi="Times New Roman" w:eastAsia="Times New Roman" w:cs="Times New Roman"/>
          <w:color w:val="000000"/>
          <w:sz w:val="24"/>
          <w:szCs w:val="24"/>
          <w:lang w:val="en-IN" w:eastAsia="en-IN" w:bidi="ar-SA"/>
        </w:rPr>
        <w:tab/>
      </w:r>
      <w:r>
        <w:rPr>
          <w:rFonts w:ascii="Times New Roman" w:hAnsi="Times New Roman" w:eastAsia="Times New Roman" w:cs="Times New Roman"/>
          <w:color w:val="000000"/>
          <w:sz w:val="24"/>
          <w:szCs w:val="24"/>
          <w:lang w:val="en-IN" w:eastAsia="en-IN" w:bidi="ar-SA"/>
        </w:rPr>
        <w:drawing>
          <wp:inline distT="0" distB="0" distL="0" distR="0">
            <wp:extent cx="3676650" cy="38576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 cstate="print"/>
                    <a:srcRect/>
                    <a:stretch>
                      <a:fillRect/>
                    </a:stretch>
                  </pic:blipFill>
                  <pic:spPr>
                    <a:xfrm>
                      <a:off x="0" y="0"/>
                      <a:ext cx="3676650" cy="3857625"/>
                    </a:xfrm>
                    <a:prstGeom prst="rect">
                      <a:avLst/>
                    </a:prstGeom>
                    <a:noFill/>
                    <a:ln w="9525">
                      <a:noFill/>
                      <a:miter lim="800000"/>
                      <a:headEnd/>
                      <a:tailEnd/>
                    </a:ln>
                  </pic:spPr>
                </pic:pic>
              </a:graphicData>
            </a:graphic>
          </wp:inline>
        </w:drawing>
      </w:r>
    </w:p>
    <w:p>
      <w:pPr>
        <w:pStyle w:val="12"/>
        <w:jc w:val="both"/>
        <w:rPr>
          <w:rFonts w:ascii="Times New Roman" w:hAnsi="Times New Roman" w:eastAsia="Times New Roman" w:cs="Times New Roman"/>
          <w:color w:val="000000"/>
          <w:sz w:val="24"/>
          <w:szCs w:val="24"/>
          <w:lang w:val="en-IN" w:eastAsia="en-IN" w:bidi="ar-SA"/>
        </w:rPr>
      </w:pPr>
      <w:r>
        <w:t xml:space="preserve">Figure </w:t>
      </w:r>
      <w:r>
        <w:fldChar w:fldCharType="begin"/>
      </w:r>
      <w:r>
        <w:instrText xml:space="preserve"> SEQ Figure \* ARABIC </w:instrText>
      </w:r>
      <w:r>
        <w:fldChar w:fldCharType="separate"/>
      </w:r>
      <w:r>
        <w:t>4</w:t>
      </w:r>
      <w:r>
        <w:fldChar w:fldCharType="end"/>
      </w:r>
      <w:r>
        <w:t xml:space="preserve"> Histogram</w:t>
      </w:r>
    </w:p>
    <w:p>
      <w:pPr>
        <w:spacing w:line="360" w:lineRule="auto"/>
        <w:jc w:val="both"/>
        <w:rPr>
          <w:rFonts w:ascii="Times New Roman" w:hAnsi="Times New Roman" w:eastAsia="Times New Roman" w:cs="Times New Roman"/>
          <w:color w:val="000000"/>
          <w:sz w:val="24"/>
          <w:szCs w:val="24"/>
          <w:lang w:val="en-IN" w:eastAsia="en-IN" w:bidi="ar-SA"/>
        </w:rPr>
      </w:pPr>
      <w:r>
        <w:rPr>
          <w:rFonts w:ascii="Times New Roman" w:hAnsi="Times New Roman" w:eastAsia="Times New Roman" w:cs="Times New Roman"/>
          <w:color w:val="000000"/>
          <w:sz w:val="24"/>
          <w:szCs w:val="24"/>
          <w:lang w:val="en-IN" w:eastAsia="en-IN" w:bidi="ar-SA"/>
        </w:rPr>
        <w:t xml:space="preserve">The Pert Distribution indicates that the data here for the NPV is skewed positively. The simulation considered is based on a total of 2000 results. Based on it, the CAPEX and the NPV are selected to carry out the further research. </w:t>
      </w:r>
    </w:p>
    <w:p>
      <w:pPr>
        <w:spacing w:line="360" w:lineRule="auto"/>
        <w:jc w:val="both"/>
        <w:rPr>
          <w:rFonts w:ascii="Times New Roman" w:hAnsi="Times New Roman" w:eastAsia="Times New Roman" w:cs="Times New Roman"/>
          <w:color w:val="000000"/>
          <w:sz w:val="24"/>
          <w:szCs w:val="24"/>
          <w:lang w:val="en-IN" w:eastAsia="en-IN" w:bidi="ar-SA"/>
        </w:rPr>
      </w:pPr>
    </w:p>
    <w:p>
      <w:pPr>
        <w:spacing w:line="360" w:lineRule="auto"/>
        <w:jc w:val="both"/>
        <w:rPr>
          <w:rFonts w:ascii="Times New Roman" w:hAnsi="Times New Roman" w:eastAsia="Times New Roman" w:cs="Times New Roman"/>
          <w:b/>
          <w:color w:val="000000"/>
          <w:sz w:val="24"/>
          <w:szCs w:val="24"/>
          <w:lang w:val="en-IN" w:eastAsia="en-IN" w:bidi="ar-SA"/>
        </w:rPr>
      </w:pPr>
      <w:r>
        <w:rPr>
          <w:rFonts w:ascii="Times New Roman" w:hAnsi="Times New Roman" w:eastAsia="Times New Roman" w:cs="Times New Roman"/>
          <w:b/>
          <w:color w:val="000000"/>
          <w:sz w:val="24"/>
          <w:szCs w:val="24"/>
          <w:lang w:val="en-IN" w:eastAsia="en-IN" w:bidi="ar-SA"/>
        </w:rPr>
        <w:t>Part-3</w:t>
      </w:r>
    </w:p>
    <w:p>
      <w:pPr>
        <w:spacing w:after="0" w:line="360" w:lineRule="auto"/>
        <w:jc w:val="both"/>
        <w:rPr>
          <w:rFonts w:ascii="Times New Roman" w:hAnsi="Times New Roman" w:eastAsia="Times New Roman" w:cs="Times New Roman"/>
          <w:kern w:val="28"/>
          <w:sz w:val="24"/>
          <w:szCs w:val="24"/>
          <w:lang w:val="en-AU" w:eastAsia="en-AU" w:bidi="ar-SA"/>
        </w:rPr>
      </w:pPr>
      <w:r>
        <w:rPr>
          <w:rFonts w:ascii="Times New Roman" w:hAnsi="Times New Roman" w:eastAsia="Times New Roman" w:cs="Times New Roman"/>
          <w:kern w:val="28"/>
          <w:sz w:val="24"/>
          <w:szCs w:val="24"/>
          <w:lang w:val="en-AU" w:eastAsia="en-AU" w:bidi="ar-SA"/>
        </w:rPr>
        <w:t xml:space="preserve">Based on the analysis, these are the projects can be considered for the selection. </w:t>
      </w:r>
    </w:p>
    <w:p>
      <w:pPr>
        <w:pStyle w:val="12"/>
        <w:keepNext/>
      </w:pPr>
      <w:r>
        <w:t xml:space="preserve">Table </w:t>
      </w:r>
      <w:r>
        <w:fldChar w:fldCharType="begin"/>
      </w:r>
      <w:r>
        <w:instrText xml:space="preserve"> SEQ Table \* ARABIC </w:instrText>
      </w:r>
      <w:r>
        <w:fldChar w:fldCharType="separate"/>
      </w:r>
      <w:r>
        <w:t>3</w:t>
      </w:r>
      <w:r>
        <w:fldChar w:fldCharType="end"/>
      </w:r>
      <w:r>
        <w:t xml:space="preserve"> Projects selected</w:t>
      </w:r>
    </w:p>
    <w:tbl>
      <w:tblPr>
        <w:tblStyle w:val="18"/>
        <w:tblW w:w="5780" w:type="dxa"/>
        <w:tblInd w:w="0" w:type="dxa"/>
        <w:tblLayout w:type="fixed"/>
        <w:tblCellMar>
          <w:top w:w="0" w:type="dxa"/>
          <w:left w:w="0" w:type="dxa"/>
          <w:bottom w:w="0" w:type="dxa"/>
          <w:right w:w="0" w:type="dxa"/>
        </w:tblCellMar>
      </w:tblPr>
      <w:tblGrid>
        <w:gridCol w:w="2889"/>
        <w:gridCol w:w="2891"/>
      </w:tblGrid>
      <w:tr>
        <w:tblPrEx>
          <w:tblLayout w:type="fixed"/>
          <w:tblCellMar>
            <w:top w:w="0" w:type="dxa"/>
            <w:left w:w="0" w:type="dxa"/>
            <w:bottom w:w="0" w:type="dxa"/>
            <w:right w:w="0" w:type="dxa"/>
          </w:tblCellMar>
        </w:tblPrEx>
        <w:trPr>
          <w:trHeight w:val="680" w:hRule="atLeast"/>
        </w:trPr>
        <w:tc>
          <w:tcPr>
            <w:tcW w:w="2889" w:type="dxa"/>
            <w:tcBorders>
              <w:top w:val="single" w:color="4A7EBB" w:sz="6" w:space="0"/>
              <w:left w:val="single" w:color="4A7EBB" w:sz="6" w:space="0"/>
              <w:bottom w:val="single" w:color="4A7EBB" w:sz="6" w:space="0"/>
              <w:right w:val="single" w:color="4A7EBB" w:sz="6" w:space="0"/>
            </w:tcBorders>
            <w:shd w:val="clear" w:color="auto" w:fill="auto"/>
            <w:tcMar>
              <w:top w:w="15" w:type="dxa"/>
              <w:left w:w="15" w:type="dxa"/>
              <w:bottom w:w="0" w:type="dxa"/>
              <w:right w:w="15" w:type="dxa"/>
            </w:tcMar>
            <w:vAlign w:val="bottom"/>
          </w:tcPr>
          <w:p>
            <w:pPr>
              <w:spacing w:after="0" w:line="360" w:lineRule="auto"/>
              <w:jc w:val="both"/>
              <w:rPr>
                <w:rFonts w:ascii="Times New Roman" w:hAnsi="Times New Roman" w:eastAsia="Times New Roman" w:cs="Times New Roman"/>
                <w:kern w:val="28"/>
                <w:sz w:val="24"/>
                <w:szCs w:val="24"/>
                <w:lang w:val="en-IN" w:eastAsia="en-AU" w:bidi="ar-SA"/>
              </w:rPr>
            </w:pPr>
          </w:p>
        </w:tc>
        <w:tc>
          <w:tcPr>
            <w:tcW w:w="2891" w:type="dxa"/>
            <w:tcBorders>
              <w:top w:val="single" w:color="4A7EBB" w:sz="6" w:space="0"/>
              <w:left w:val="single" w:color="4A7EBB" w:sz="6" w:space="0"/>
              <w:bottom w:val="single" w:color="4A7EBB" w:sz="6" w:space="0"/>
              <w:right w:val="single" w:color="4A7EBB" w:sz="6" w:space="0"/>
            </w:tcBorders>
            <w:shd w:val="clear" w:color="auto" w:fill="auto"/>
            <w:tcMar>
              <w:top w:w="15" w:type="dxa"/>
              <w:left w:w="15" w:type="dxa"/>
              <w:bottom w:w="0" w:type="dxa"/>
              <w:right w:w="15" w:type="dxa"/>
            </w:tcMar>
            <w:vAlign w:val="bottom"/>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 xml:space="preserve">Projects Selected </w:t>
            </w:r>
          </w:p>
        </w:tc>
      </w:tr>
      <w:tr>
        <w:tblPrEx>
          <w:tblLayout w:type="fixed"/>
          <w:tblCellMar>
            <w:top w:w="0" w:type="dxa"/>
            <w:left w:w="0" w:type="dxa"/>
            <w:bottom w:w="0" w:type="dxa"/>
            <w:right w:w="0" w:type="dxa"/>
          </w:tblCellMar>
        </w:tblPrEx>
        <w:trPr>
          <w:trHeight w:val="680" w:hRule="atLeast"/>
        </w:trPr>
        <w:tc>
          <w:tcPr>
            <w:tcW w:w="2889" w:type="dxa"/>
            <w:tcBorders>
              <w:top w:val="single" w:color="4A7EBB" w:sz="6" w:space="0"/>
              <w:left w:val="single" w:color="4A7EBB" w:sz="6" w:space="0"/>
              <w:bottom w:val="single" w:color="4A7EBB" w:sz="6" w:space="0"/>
              <w:right w:val="single" w:color="4A7EBB" w:sz="6" w:space="0"/>
            </w:tcBorders>
            <w:shd w:val="clear" w:color="auto" w:fill="auto"/>
            <w:tcMar>
              <w:top w:w="15" w:type="dxa"/>
              <w:left w:w="15" w:type="dxa"/>
              <w:bottom w:w="0" w:type="dxa"/>
              <w:right w:w="15" w:type="dxa"/>
            </w:tcMar>
            <w:vAlign w:val="bottom"/>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 xml:space="preserve">FA1 </w:t>
            </w:r>
          </w:p>
        </w:tc>
        <w:tc>
          <w:tcPr>
            <w:tcW w:w="2891" w:type="dxa"/>
            <w:tcBorders>
              <w:top w:val="single" w:color="4A7EBB" w:sz="6" w:space="0"/>
              <w:left w:val="single" w:color="4A7EBB" w:sz="6" w:space="0"/>
              <w:bottom w:val="single" w:color="4A7EBB" w:sz="6" w:space="0"/>
              <w:right w:val="single" w:color="4A7EBB" w:sz="6" w:space="0"/>
            </w:tcBorders>
            <w:shd w:val="clear" w:color="auto" w:fill="auto"/>
            <w:tcMar>
              <w:top w:w="15" w:type="dxa"/>
              <w:left w:w="15" w:type="dxa"/>
              <w:bottom w:w="0" w:type="dxa"/>
              <w:right w:w="15" w:type="dxa"/>
            </w:tcMar>
            <w:vAlign w:val="bottom"/>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 xml:space="preserve">2,4 &amp; 5 </w:t>
            </w:r>
          </w:p>
        </w:tc>
      </w:tr>
      <w:tr>
        <w:tblPrEx>
          <w:tblLayout w:type="fixed"/>
          <w:tblCellMar>
            <w:top w:w="0" w:type="dxa"/>
            <w:left w:w="0" w:type="dxa"/>
            <w:bottom w:w="0" w:type="dxa"/>
            <w:right w:w="0" w:type="dxa"/>
          </w:tblCellMar>
        </w:tblPrEx>
        <w:trPr>
          <w:trHeight w:val="680" w:hRule="atLeast"/>
        </w:trPr>
        <w:tc>
          <w:tcPr>
            <w:tcW w:w="2889" w:type="dxa"/>
            <w:tcBorders>
              <w:top w:val="single" w:color="4A7EBB" w:sz="6" w:space="0"/>
              <w:left w:val="single" w:color="4A7EBB" w:sz="6" w:space="0"/>
              <w:bottom w:val="single" w:color="4A7EBB" w:sz="6" w:space="0"/>
              <w:right w:val="single" w:color="4A7EBB" w:sz="6" w:space="0"/>
            </w:tcBorders>
            <w:shd w:val="clear" w:color="auto" w:fill="auto"/>
            <w:tcMar>
              <w:top w:w="15" w:type="dxa"/>
              <w:left w:w="15" w:type="dxa"/>
              <w:bottom w:w="0" w:type="dxa"/>
              <w:right w:w="15" w:type="dxa"/>
            </w:tcMar>
            <w:vAlign w:val="bottom"/>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 xml:space="preserve">FA2 </w:t>
            </w:r>
          </w:p>
        </w:tc>
        <w:tc>
          <w:tcPr>
            <w:tcW w:w="2891" w:type="dxa"/>
            <w:tcBorders>
              <w:top w:val="single" w:color="4A7EBB" w:sz="6" w:space="0"/>
              <w:left w:val="single" w:color="4A7EBB" w:sz="6" w:space="0"/>
              <w:bottom w:val="single" w:color="4A7EBB" w:sz="6" w:space="0"/>
              <w:right w:val="single" w:color="4A7EBB" w:sz="6" w:space="0"/>
            </w:tcBorders>
            <w:shd w:val="clear" w:color="auto" w:fill="auto"/>
            <w:tcMar>
              <w:top w:w="15" w:type="dxa"/>
              <w:left w:w="15" w:type="dxa"/>
              <w:bottom w:w="0" w:type="dxa"/>
              <w:right w:w="15" w:type="dxa"/>
            </w:tcMar>
            <w:vAlign w:val="bottom"/>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 xml:space="preserve">7 </w:t>
            </w:r>
          </w:p>
        </w:tc>
      </w:tr>
      <w:tr>
        <w:tblPrEx>
          <w:tblLayout w:type="fixed"/>
          <w:tblCellMar>
            <w:top w:w="0" w:type="dxa"/>
            <w:left w:w="0" w:type="dxa"/>
            <w:bottom w:w="0" w:type="dxa"/>
            <w:right w:w="0" w:type="dxa"/>
          </w:tblCellMar>
        </w:tblPrEx>
        <w:trPr>
          <w:trHeight w:val="680" w:hRule="atLeast"/>
        </w:trPr>
        <w:tc>
          <w:tcPr>
            <w:tcW w:w="2889" w:type="dxa"/>
            <w:tcBorders>
              <w:top w:val="single" w:color="4A7EBB" w:sz="6" w:space="0"/>
              <w:left w:val="single" w:color="4A7EBB" w:sz="6" w:space="0"/>
              <w:bottom w:val="single" w:color="4A7EBB" w:sz="6" w:space="0"/>
              <w:right w:val="single" w:color="4A7EBB" w:sz="6" w:space="0"/>
            </w:tcBorders>
            <w:shd w:val="clear" w:color="auto" w:fill="auto"/>
            <w:tcMar>
              <w:top w:w="15" w:type="dxa"/>
              <w:left w:w="15" w:type="dxa"/>
              <w:bottom w:w="0" w:type="dxa"/>
              <w:right w:w="15" w:type="dxa"/>
            </w:tcMar>
            <w:vAlign w:val="bottom"/>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 xml:space="preserve">FA3 </w:t>
            </w:r>
          </w:p>
        </w:tc>
        <w:tc>
          <w:tcPr>
            <w:tcW w:w="2891" w:type="dxa"/>
            <w:tcBorders>
              <w:top w:val="single" w:color="4A7EBB" w:sz="6" w:space="0"/>
              <w:left w:val="single" w:color="4A7EBB" w:sz="6" w:space="0"/>
              <w:bottom w:val="single" w:color="4A7EBB" w:sz="6" w:space="0"/>
              <w:right w:val="single" w:color="4A7EBB" w:sz="6" w:space="0"/>
            </w:tcBorders>
            <w:shd w:val="clear" w:color="auto" w:fill="auto"/>
            <w:tcMar>
              <w:top w:w="15" w:type="dxa"/>
              <w:left w:w="15" w:type="dxa"/>
              <w:bottom w:w="0" w:type="dxa"/>
              <w:right w:w="15" w:type="dxa"/>
            </w:tcMar>
            <w:vAlign w:val="bottom"/>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 xml:space="preserve">10 &amp; 11 </w:t>
            </w:r>
          </w:p>
        </w:tc>
      </w:tr>
    </w:tbl>
    <w:p>
      <w:pPr>
        <w:spacing w:after="0" w:line="360" w:lineRule="auto"/>
        <w:jc w:val="both"/>
        <w:rPr>
          <w:rFonts w:ascii="Times New Roman" w:hAnsi="Times New Roman" w:eastAsia="Times New Roman" w:cs="Times New Roman"/>
          <w:kern w:val="28"/>
          <w:sz w:val="24"/>
          <w:szCs w:val="24"/>
          <w:lang w:val="en-AU" w:eastAsia="en-AU" w:bidi="ar-SA"/>
        </w:rPr>
      </w:pPr>
      <w:r>
        <w:rPr>
          <w:rFonts w:ascii="Times New Roman" w:hAnsi="Times New Roman" w:eastAsia="Times New Roman" w:cs="Times New Roman"/>
          <w:kern w:val="28"/>
          <w:sz w:val="24"/>
          <w:szCs w:val="24"/>
          <w:lang w:val="en-AU" w:eastAsia="en-AU" w:bidi="ar-SA"/>
        </w:rPr>
        <w:t xml:space="preserve">The Projects selected are 2, 4, 5, 7, 10 and 11. The projects 2, 4 and 5 belong to the Functional Area 1 and the projects 7 belong to the Functional Area 2. The projects 11 and 10 belong to the Functional Area 3. The following will be the CAPEX of the company and Functional Areas of the project.  </w:t>
      </w:r>
    </w:p>
    <w:p>
      <w:pPr>
        <w:pStyle w:val="12"/>
        <w:keepNext/>
      </w:pPr>
      <w:r>
        <w:t xml:space="preserve">Table </w:t>
      </w:r>
      <w:r>
        <w:fldChar w:fldCharType="begin"/>
      </w:r>
      <w:r>
        <w:instrText xml:space="preserve"> SEQ Table \* ARABIC </w:instrText>
      </w:r>
      <w:r>
        <w:fldChar w:fldCharType="separate"/>
      </w:r>
      <w:r>
        <w:t>4</w:t>
      </w:r>
      <w:r>
        <w:fldChar w:fldCharType="end"/>
      </w:r>
      <w:r>
        <w:t xml:space="preserve"> NPV as % of CAPEX</w:t>
      </w:r>
    </w:p>
    <w:tbl>
      <w:tblPr>
        <w:tblStyle w:val="18"/>
        <w:tblW w:w="3440" w:type="dxa"/>
        <w:tblInd w:w="0" w:type="dxa"/>
        <w:tblLayout w:type="fixed"/>
        <w:tblCellMar>
          <w:top w:w="0" w:type="dxa"/>
          <w:left w:w="0" w:type="dxa"/>
          <w:bottom w:w="0" w:type="dxa"/>
          <w:right w:w="0" w:type="dxa"/>
        </w:tblCellMar>
      </w:tblPr>
      <w:tblGrid>
        <w:gridCol w:w="2020"/>
        <w:gridCol w:w="1420"/>
      </w:tblGrid>
      <w:tr>
        <w:tblPrEx>
          <w:tblLayout w:type="fixed"/>
          <w:tblCellMar>
            <w:top w:w="0" w:type="dxa"/>
            <w:left w:w="0" w:type="dxa"/>
            <w:bottom w:w="0" w:type="dxa"/>
            <w:right w:w="0" w:type="dxa"/>
          </w:tblCellMar>
        </w:tblPrEx>
        <w:trPr>
          <w:trHeight w:val="567" w:hRule="atLeast"/>
        </w:trPr>
        <w:tc>
          <w:tcPr>
            <w:tcW w:w="2020" w:type="dxa"/>
            <w:tcBorders>
              <w:top w:val="nil"/>
              <w:left w:val="nil"/>
              <w:bottom w:val="nil"/>
              <w:right w:val="nil"/>
            </w:tcBorders>
            <w:shd w:val="clear" w:color="auto" w:fill="auto"/>
            <w:tcMar>
              <w:top w:w="15" w:type="dxa"/>
              <w:left w:w="15" w:type="dxa"/>
              <w:bottom w:w="0" w:type="dxa"/>
              <w:right w:w="15" w:type="dxa"/>
            </w:tcMar>
            <w:vAlign w:val="bottom"/>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Project Code</w:t>
            </w:r>
          </w:p>
        </w:tc>
        <w:tc>
          <w:tcPr>
            <w:tcW w:w="1420" w:type="dxa"/>
            <w:tcBorders>
              <w:top w:val="nil"/>
              <w:left w:val="nil"/>
              <w:bottom w:val="nil"/>
              <w:right w:val="nil"/>
            </w:tcBorders>
            <w:shd w:val="clear" w:color="auto" w:fill="auto"/>
            <w:tcMar>
              <w:top w:w="15" w:type="dxa"/>
              <w:left w:w="15" w:type="dxa"/>
              <w:bottom w:w="0" w:type="dxa"/>
              <w:right w:w="15" w:type="dxa"/>
            </w:tcMar>
            <w:vAlign w:val="bottom"/>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 xml:space="preserve">NPV as % of CAPEX </w:t>
            </w:r>
          </w:p>
        </w:tc>
      </w:tr>
      <w:tr>
        <w:tblPrEx>
          <w:tblLayout w:type="fixed"/>
          <w:tblCellMar>
            <w:top w:w="0" w:type="dxa"/>
            <w:left w:w="0" w:type="dxa"/>
            <w:bottom w:w="0" w:type="dxa"/>
            <w:right w:w="0" w:type="dxa"/>
          </w:tblCellMar>
        </w:tblPrEx>
        <w:trPr>
          <w:trHeight w:val="300" w:hRule="atLeast"/>
        </w:trPr>
        <w:tc>
          <w:tcPr>
            <w:tcW w:w="2020" w:type="dxa"/>
            <w:tcBorders>
              <w:top w:val="nil"/>
              <w:left w:val="nil"/>
              <w:bottom w:val="nil"/>
              <w:right w:val="nil"/>
            </w:tcBorders>
            <w:shd w:val="clear" w:color="auto" w:fill="auto"/>
            <w:tcMar>
              <w:top w:w="15" w:type="dxa"/>
              <w:left w:w="15" w:type="dxa"/>
              <w:bottom w:w="0" w:type="dxa"/>
              <w:right w:w="15" w:type="dxa"/>
            </w:tcMar>
            <w:vAlign w:val="bottom"/>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 xml:space="preserve">2 </w:t>
            </w:r>
          </w:p>
        </w:tc>
        <w:tc>
          <w:tcPr>
            <w:tcW w:w="1420" w:type="dxa"/>
            <w:tcBorders>
              <w:top w:val="nil"/>
              <w:left w:val="nil"/>
              <w:bottom w:val="nil"/>
              <w:right w:val="nil"/>
            </w:tcBorders>
            <w:shd w:val="clear" w:color="auto" w:fill="auto"/>
            <w:tcMar>
              <w:top w:w="15" w:type="dxa"/>
              <w:left w:w="15" w:type="dxa"/>
              <w:bottom w:w="0" w:type="dxa"/>
              <w:right w:w="15" w:type="dxa"/>
            </w:tcMar>
            <w:vAlign w:val="bottom"/>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 xml:space="preserve">16.36% </w:t>
            </w:r>
          </w:p>
        </w:tc>
      </w:tr>
      <w:tr>
        <w:tblPrEx>
          <w:tblLayout w:type="fixed"/>
          <w:tblCellMar>
            <w:top w:w="0" w:type="dxa"/>
            <w:left w:w="0" w:type="dxa"/>
            <w:bottom w:w="0" w:type="dxa"/>
            <w:right w:w="0" w:type="dxa"/>
          </w:tblCellMar>
        </w:tblPrEx>
        <w:trPr>
          <w:trHeight w:val="300" w:hRule="atLeast"/>
        </w:trPr>
        <w:tc>
          <w:tcPr>
            <w:tcW w:w="2020" w:type="dxa"/>
            <w:tcBorders>
              <w:top w:val="nil"/>
              <w:left w:val="nil"/>
              <w:bottom w:val="nil"/>
              <w:right w:val="nil"/>
            </w:tcBorders>
            <w:shd w:val="clear" w:color="auto" w:fill="auto"/>
            <w:tcMar>
              <w:top w:w="15" w:type="dxa"/>
              <w:left w:w="15" w:type="dxa"/>
              <w:bottom w:w="0" w:type="dxa"/>
              <w:right w:w="15" w:type="dxa"/>
            </w:tcMar>
            <w:vAlign w:val="bottom"/>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 xml:space="preserve">4 </w:t>
            </w:r>
          </w:p>
        </w:tc>
        <w:tc>
          <w:tcPr>
            <w:tcW w:w="1420" w:type="dxa"/>
            <w:tcBorders>
              <w:top w:val="nil"/>
              <w:left w:val="nil"/>
              <w:bottom w:val="nil"/>
              <w:right w:val="nil"/>
            </w:tcBorders>
            <w:shd w:val="clear" w:color="auto" w:fill="auto"/>
            <w:tcMar>
              <w:top w:w="15" w:type="dxa"/>
              <w:left w:w="15" w:type="dxa"/>
              <w:bottom w:w="0" w:type="dxa"/>
              <w:right w:w="15" w:type="dxa"/>
            </w:tcMar>
            <w:vAlign w:val="bottom"/>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20.00%</w:t>
            </w:r>
          </w:p>
        </w:tc>
      </w:tr>
      <w:tr>
        <w:tblPrEx>
          <w:tblLayout w:type="fixed"/>
          <w:tblCellMar>
            <w:top w:w="0" w:type="dxa"/>
            <w:left w:w="0" w:type="dxa"/>
            <w:bottom w:w="0" w:type="dxa"/>
            <w:right w:w="0" w:type="dxa"/>
          </w:tblCellMar>
        </w:tblPrEx>
        <w:trPr>
          <w:trHeight w:val="300" w:hRule="atLeast"/>
        </w:trPr>
        <w:tc>
          <w:tcPr>
            <w:tcW w:w="2020" w:type="dxa"/>
            <w:tcBorders>
              <w:top w:val="nil"/>
              <w:left w:val="nil"/>
              <w:bottom w:val="nil"/>
              <w:right w:val="nil"/>
            </w:tcBorders>
            <w:shd w:val="clear" w:color="auto" w:fill="auto"/>
            <w:tcMar>
              <w:top w:w="15" w:type="dxa"/>
              <w:left w:w="15" w:type="dxa"/>
              <w:bottom w:w="0" w:type="dxa"/>
              <w:right w:w="15" w:type="dxa"/>
            </w:tcMar>
            <w:vAlign w:val="bottom"/>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5</w:t>
            </w:r>
          </w:p>
        </w:tc>
        <w:tc>
          <w:tcPr>
            <w:tcW w:w="1420" w:type="dxa"/>
            <w:tcBorders>
              <w:top w:val="nil"/>
              <w:left w:val="nil"/>
              <w:bottom w:val="nil"/>
              <w:right w:val="nil"/>
            </w:tcBorders>
            <w:shd w:val="clear" w:color="auto" w:fill="auto"/>
            <w:tcMar>
              <w:top w:w="15" w:type="dxa"/>
              <w:left w:w="15" w:type="dxa"/>
              <w:bottom w:w="0" w:type="dxa"/>
              <w:right w:w="15" w:type="dxa"/>
            </w:tcMar>
            <w:vAlign w:val="bottom"/>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15.70%</w:t>
            </w:r>
          </w:p>
        </w:tc>
      </w:tr>
      <w:tr>
        <w:tblPrEx>
          <w:tblLayout w:type="fixed"/>
          <w:tblCellMar>
            <w:top w:w="0" w:type="dxa"/>
            <w:left w:w="0" w:type="dxa"/>
            <w:bottom w:w="0" w:type="dxa"/>
            <w:right w:w="0" w:type="dxa"/>
          </w:tblCellMar>
        </w:tblPrEx>
        <w:trPr>
          <w:trHeight w:val="300" w:hRule="atLeast"/>
        </w:trPr>
        <w:tc>
          <w:tcPr>
            <w:tcW w:w="2020" w:type="dxa"/>
            <w:tcBorders>
              <w:top w:val="nil"/>
              <w:left w:val="nil"/>
              <w:bottom w:val="nil"/>
              <w:right w:val="nil"/>
            </w:tcBorders>
            <w:shd w:val="clear" w:color="auto" w:fill="auto"/>
            <w:tcMar>
              <w:top w:w="15" w:type="dxa"/>
              <w:left w:w="15" w:type="dxa"/>
              <w:bottom w:w="0" w:type="dxa"/>
              <w:right w:w="15" w:type="dxa"/>
            </w:tcMar>
            <w:vAlign w:val="bottom"/>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7</w:t>
            </w:r>
          </w:p>
        </w:tc>
        <w:tc>
          <w:tcPr>
            <w:tcW w:w="1420" w:type="dxa"/>
            <w:tcBorders>
              <w:top w:val="nil"/>
              <w:left w:val="nil"/>
              <w:bottom w:val="nil"/>
              <w:right w:val="nil"/>
            </w:tcBorders>
            <w:shd w:val="clear" w:color="auto" w:fill="auto"/>
            <w:tcMar>
              <w:top w:w="15" w:type="dxa"/>
              <w:left w:w="15" w:type="dxa"/>
              <w:bottom w:w="0" w:type="dxa"/>
              <w:right w:w="15" w:type="dxa"/>
            </w:tcMar>
            <w:vAlign w:val="bottom"/>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22.80%</w:t>
            </w:r>
          </w:p>
        </w:tc>
      </w:tr>
      <w:tr>
        <w:tblPrEx>
          <w:tblLayout w:type="fixed"/>
          <w:tblCellMar>
            <w:top w:w="0" w:type="dxa"/>
            <w:left w:w="0" w:type="dxa"/>
            <w:bottom w:w="0" w:type="dxa"/>
            <w:right w:w="0" w:type="dxa"/>
          </w:tblCellMar>
        </w:tblPrEx>
        <w:trPr>
          <w:trHeight w:val="300" w:hRule="atLeast"/>
        </w:trPr>
        <w:tc>
          <w:tcPr>
            <w:tcW w:w="2020" w:type="dxa"/>
            <w:tcBorders>
              <w:top w:val="nil"/>
              <w:left w:val="nil"/>
              <w:bottom w:val="nil"/>
              <w:right w:val="nil"/>
            </w:tcBorders>
            <w:shd w:val="clear" w:color="auto" w:fill="auto"/>
            <w:tcMar>
              <w:top w:w="15" w:type="dxa"/>
              <w:left w:w="15" w:type="dxa"/>
              <w:bottom w:w="0" w:type="dxa"/>
              <w:right w:w="15" w:type="dxa"/>
            </w:tcMar>
            <w:vAlign w:val="bottom"/>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10</w:t>
            </w:r>
          </w:p>
        </w:tc>
        <w:tc>
          <w:tcPr>
            <w:tcW w:w="1420" w:type="dxa"/>
            <w:tcBorders>
              <w:top w:val="nil"/>
              <w:left w:val="nil"/>
              <w:bottom w:val="nil"/>
              <w:right w:val="nil"/>
            </w:tcBorders>
            <w:shd w:val="clear" w:color="auto" w:fill="auto"/>
            <w:tcMar>
              <w:top w:w="15" w:type="dxa"/>
              <w:left w:w="15" w:type="dxa"/>
              <w:bottom w:w="0" w:type="dxa"/>
              <w:right w:w="15" w:type="dxa"/>
            </w:tcMar>
            <w:vAlign w:val="bottom"/>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14.30%</w:t>
            </w:r>
          </w:p>
        </w:tc>
      </w:tr>
      <w:tr>
        <w:tblPrEx>
          <w:tblLayout w:type="fixed"/>
          <w:tblCellMar>
            <w:top w:w="0" w:type="dxa"/>
            <w:left w:w="0" w:type="dxa"/>
            <w:bottom w:w="0" w:type="dxa"/>
            <w:right w:w="0" w:type="dxa"/>
          </w:tblCellMar>
        </w:tblPrEx>
        <w:trPr>
          <w:trHeight w:val="300" w:hRule="atLeast"/>
        </w:trPr>
        <w:tc>
          <w:tcPr>
            <w:tcW w:w="2020" w:type="dxa"/>
            <w:tcBorders>
              <w:top w:val="nil"/>
              <w:left w:val="nil"/>
              <w:bottom w:val="nil"/>
              <w:right w:val="nil"/>
            </w:tcBorders>
            <w:shd w:val="clear" w:color="auto" w:fill="auto"/>
            <w:tcMar>
              <w:top w:w="15" w:type="dxa"/>
              <w:left w:w="15" w:type="dxa"/>
              <w:bottom w:w="0" w:type="dxa"/>
              <w:right w:w="15" w:type="dxa"/>
            </w:tcMar>
            <w:vAlign w:val="bottom"/>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11</w:t>
            </w:r>
          </w:p>
        </w:tc>
        <w:tc>
          <w:tcPr>
            <w:tcW w:w="1420" w:type="dxa"/>
            <w:tcBorders>
              <w:top w:val="nil"/>
              <w:left w:val="nil"/>
              <w:bottom w:val="nil"/>
              <w:right w:val="nil"/>
            </w:tcBorders>
            <w:shd w:val="clear" w:color="auto" w:fill="auto"/>
            <w:tcMar>
              <w:top w:w="15" w:type="dxa"/>
              <w:left w:w="15" w:type="dxa"/>
              <w:bottom w:w="0" w:type="dxa"/>
              <w:right w:w="15" w:type="dxa"/>
            </w:tcMar>
            <w:vAlign w:val="bottom"/>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17.30%</w:t>
            </w:r>
          </w:p>
        </w:tc>
      </w:tr>
    </w:tbl>
    <w:p>
      <w:pPr>
        <w:spacing w:after="0" w:line="360" w:lineRule="auto"/>
        <w:jc w:val="both"/>
        <w:rPr>
          <w:rFonts w:ascii="Times New Roman" w:hAnsi="Times New Roman" w:eastAsia="Times New Roman" w:cs="Times New Roman"/>
          <w:kern w:val="28"/>
          <w:sz w:val="24"/>
          <w:szCs w:val="24"/>
          <w:lang w:val="en-AU" w:eastAsia="en-AU" w:bidi="ar-SA"/>
        </w:rPr>
      </w:pPr>
      <w:r>
        <w:rPr>
          <w:rFonts w:ascii="Times New Roman" w:hAnsi="Times New Roman" w:eastAsia="Times New Roman" w:cs="Times New Roman"/>
          <w:kern w:val="28"/>
          <w:sz w:val="24"/>
          <w:szCs w:val="24"/>
          <w:lang w:val="en-AU" w:eastAsia="en-AU" w:bidi="ar-SA"/>
        </w:rPr>
        <w:t>The projects 2, 4 and 5 belong to the Functional Area 1 and the projects 7 belong to the Functional Area 2. The projects 11 and 10 belong to the Functional Area 3. Therefore, one project from each and every Functional Area is considered for the study.</w:t>
      </w:r>
    </w:p>
    <w:p>
      <w:pPr>
        <w:pStyle w:val="12"/>
        <w:keepNext/>
      </w:pPr>
      <w:r>
        <w:t xml:space="preserve">Table </w:t>
      </w:r>
      <w:r>
        <w:fldChar w:fldCharType="begin"/>
      </w:r>
      <w:r>
        <w:instrText xml:space="preserve"> SEQ Table \* ARABIC </w:instrText>
      </w:r>
      <w:r>
        <w:fldChar w:fldCharType="separate"/>
      </w:r>
      <w:r>
        <w:t>5</w:t>
      </w:r>
      <w:r>
        <w:fldChar w:fldCharType="end"/>
      </w:r>
      <w:r>
        <w:t xml:space="preserve"> Total NPV and CAPEX</w:t>
      </w:r>
    </w:p>
    <w:tbl>
      <w:tblPr>
        <w:tblStyle w:val="19"/>
        <w:tblW w:w="60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0"/>
        <w:gridCol w:w="1357"/>
        <w:gridCol w:w="1357"/>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trPr>
        <w:tc>
          <w:tcPr>
            <w:tcW w:w="1930" w:type="dxa"/>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b/>
                <w:bCs/>
                <w:kern w:val="28"/>
                <w:sz w:val="24"/>
                <w:szCs w:val="24"/>
                <w:lang w:val="en-AU" w:eastAsia="en-AU" w:bidi="ar-SA"/>
              </w:rPr>
              <w:t>Project Code</w:t>
            </w:r>
            <w:r>
              <w:rPr>
                <w:rFonts w:ascii="Times New Roman" w:hAnsi="Times New Roman" w:eastAsia="Times New Roman" w:cs="Times New Roman"/>
                <w:kern w:val="28"/>
                <w:sz w:val="24"/>
                <w:szCs w:val="24"/>
                <w:lang w:val="en-IN" w:eastAsia="en-AU" w:bidi="ar-SA"/>
              </w:rPr>
              <w:t xml:space="preserve"> </w:t>
            </w:r>
          </w:p>
        </w:tc>
        <w:tc>
          <w:tcPr>
            <w:tcW w:w="1357" w:type="dxa"/>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b/>
                <w:bCs/>
                <w:kern w:val="28"/>
                <w:sz w:val="24"/>
                <w:szCs w:val="24"/>
                <w:lang w:val="en-AU" w:eastAsia="en-AU" w:bidi="ar-SA"/>
              </w:rPr>
              <w:t>NPV as % of total CAPEX</w:t>
            </w:r>
            <w:r>
              <w:rPr>
                <w:rFonts w:ascii="Times New Roman" w:hAnsi="Times New Roman" w:eastAsia="Times New Roman" w:cs="Times New Roman"/>
                <w:kern w:val="28"/>
                <w:sz w:val="24"/>
                <w:szCs w:val="24"/>
                <w:lang w:val="en-IN" w:eastAsia="en-AU" w:bidi="ar-SA"/>
              </w:rPr>
              <w:t xml:space="preserve"> </w:t>
            </w:r>
          </w:p>
        </w:tc>
        <w:tc>
          <w:tcPr>
            <w:tcW w:w="1357" w:type="dxa"/>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b/>
                <w:bCs/>
                <w:kern w:val="28"/>
                <w:sz w:val="24"/>
                <w:szCs w:val="24"/>
                <w:lang w:val="en-AU" w:eastAsia="en-AU" w:bidi="ar-SA"/>
              </w:rPr>
              <w:t>NPV</w:t>
            </w:r>
            <w:r>
              <w:rPr>
                <w:rFonts w:ascii="Times New Roman" w:hAnsi="Times New Roman" w:eastAsia="Times New Roman" w:cs="Times New Roman"/>
                <w:kern w:val="28"/>
                <w:sz w:val="24"/>
                <w:szCs w:val="24"/>
                <w:lang w:val="en-IN" w:eastAsia="en-AU" w:bidi="ar-SA"/>
              </w:rPr>
              <w:t xml:space="preserve"> </w:t>
            </w:r>
          </w:p>
        </w:tc>
        <w:tc>
          <w:tcPr>
            <w:tcW w:w="1357" w:type="dxa"/>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b/>
                <w:bCs/>
                <w:kern w:val="28"/>
                <w:sz w:val="24"/>
                <w:szCs w:val="24"/>
                <w:lang w:val="en-AU" w:eastAsia="en-AU" w:bidi="ar-SA"/>
              </w:rPr>
              <w:t>CAPEX</w:t>
            </w:r>
            <w:r>
              <w:rPr>
                <w:rFonts w:ascii="Times New Roman" w:hAnsi="Times New Roman" w:eastAsia="Times New Roman" w:cs="Times New Roman"/>
                <w:kern w:val="28"/>
                <w:sz w:val="24"/>
                <w:szCs w:val="24"/>
                <w:lang w:val="en-IN" w:eastAsia="en-AU"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trPr>
        <w:tc>
          <w:tcPr>
            <w:tcW w:w="1930" w:type="dxa"/>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AU" w:eastAsia="en-AU" w:bidi="ar-SA"/>
              </w:rPr>
              <w:t>2</w:t>
            </w:r>
            <w:r>
              <w:rPr>
                <w:rFonts w:ascii="Times New Roman" w:hAnsi="Times New Roman" w:eastAsia="Times New Roman" w:cs="Times New Roman"/>
                <w:kern w:val="28"/>
                <w:sz w:val="24"/>
                <w:szCs w:val="24"/>
                <w:lang w:val="en-IN" w:eastAsia="en-AU" w:bidi="ar-SA"/>
              </w:rPr>
              <w:t xml:space="preserve"> </w:t>
            </w:r>
          </w:p>
        </w:tc>
        <w:tc>
          <w:tcPr>
            <w:tcW w:w="1357" w:type="dxa"/>
          </w:tcPr>
          <w:p>
            <w:pPr>
              <w:spacing w:after="0" w:line="240" w:lineRule="auto"/>
              <w:jc w:val="right"/>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AU" w:eastAsia="en-AU" w:bidi="ar-SA"/>
              </w:rPr>
              <w:t>16.30%</w:t>
            </w:r>
            <w:r>
              <w:rPr>
                <w:rFonts w:ascii="Times New Roman" w:hAnsi="Times New Roman" w:eastAsia="Times New Roman" w:cs="Times New Roman"/>
                <w:kern w:val="28"/>
                <w:sz w:val="24"/>
                <w:szCs w:val="24"/>
                <w:lang w:val="en-IN" w:eastAsia="en-AU" w:bidi="ar-SA"/>
              </w:rPr>
              <w:t xml:space="preserve"> </w:t>
            </w:r>
          </w:p>
        </w:tc>
        <w:tc>
          <w:tcPr>
            <w:tcW w:w="1357" w:type="dxa"/>
          </w:tcPr>
          <w:p>
            <w:pPr>
              <w:spacing w:after="0" w:line="240" w:lineRule="auto"/>
              <w:jc w:val="right"/>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AU" w:eastAsia="en-AU" w:bidi="ar-SA"/>
              </w:rPr>
              <w:t>53.5</w:t>
            </w:r>
            <w:r>
              <w:rPr>
                <w:rFonts w:ascii="Times New Roman" w:hAnsi="Times New Roman" w:eastAsia="Times New Roman" w:cs="Times New Roman"/>
                <w:kern w:val="28"/>
                <w:sz w:val="24"/>
                <w:szCs w:val="24"/>
                <w:lang w:val="en-IN" w:eastAsia="en-AU" w:bidi="ar-SA"/>
              </w:rPr>
              <w:t xml:space="preserve"> </w:t>
            </w:r>
          </w:p>
        </w:tc>
        <w:tc>
          <w:tcPr>
            <w:tcW w:w="1357" w:type="dxa"/>
          </w:tcPr>
          <w:p>
            <w:pPr>
              <w:spacing w:after="0" w:line="240" w:lineRule="auto"/>
              <w:jc w:val="right"/>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 xml:space="preserve">326.7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930" w:type="dxa"/>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AU" w:eastAsia="en-AU" w:bidi="ar-SA"/>
              </w:rPr>
              <w:t>4</w:t>
            </w:r>
            <w:r>
              <w:rPr>
                <w:rFonts w:ascii="Times New Roman" w:hAnsi="Times New Roman" w:eastAsia="Times New Roman" w:cs="Times New Roman"/>
                <w:kern w:val="28"/>
                <w:sz w:val="24"/>
                <w:szCs w:val="24"/>
                <w:lang w:val="en-IN" w:eastAsia="en-AU" w:bidi="ar-SA"/>
              </w:rPr>
              <w:t xml:space="preserve"> </w:t>
            </w:r>
          </w:p>
        </w:tc>
        <w:tc>
          <w:tcPr>
            <w:tcW w:w="1357" w:type="dxa"/>
          </w:tcPr>
          <w:p>
            <w:pPr>
              <w:spacing w:after="0" w:line="240" w:lineRule="auto"/>
              <w:jc w:val="right"/>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AU" w:eastAsia="en-AU" w:bidi="ar-SA"/>
              </w:rPr>
              <w:t>20.00%</w:t>
            </w:r>
            <w:r>
              <w:rPr>
                <w:rFonts w:ascii="Times New Roman" w:hAnsi="Times New Roman" w:eastAsia="Times New Roman" w:cs="Times New Roman"/>
                <w:kern w:val="28"/>
                <w:sz w:val="24"/>
                <w:szCs w:val="24"/>
                <w:lang w:val="en-IN" w:eastAsia="en-AU" w:bidi="ar-SA"/>
              </w:rPr>
              <w:t xml:space="preserve"> </w:t>
            </w:r>
          </w:p>
        </w:tc>
        <w:tc>
          <w:tcPr>
            <w:tcW w:w="1357" w:type="dxa"/>
          </w:tcPr>
          <w:p>
            <w:pPr>
              <w:spacing w:after="0" w:line="240" w:lineRule="auto"/>
              <w:jc w:val="right"/>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AU" w:eastAsia="en-AU" w:bidi="ar-SA"/>
              </w:rPr>
              <w:t>310.00</w:t>
            </w:r>
            <w:r>
              <w:rPr>
                <w:rFonts w:ascii="Times New Roman" w:hAnsi="Times New Roman" w:eastAsia="Times New Roman" w:cs="Times New Roman"/>
                <w:kern w:val="28"/>
                <w:sz w:val="24"/>
                <w:szCs w:val="24"/>
                <w:lang w:val="en-IN" w:eastAsia="en-AU" w:bidi="ar-SA"/>
              </w:rPr>
              <w:t xml:space="preserve"> </w:t>
            </w:r>
          </w:p>
        </w:tc>
        <w:tc>
          <w:tcPr>
            <w:tcW w:w="1357" w:type="dxa"/>
          </w:tcPr>
          <w:p>
            <w:pPr>
              <w:spacing w:after="0" w:line="240" w:lineRule="auto"/>
              <w:jc w:val="right"/>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 xml:space="preserve">1395.00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930" w:type="dxa"/>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AU" w:eastAsia="en-AU" w:bidi="ar-SA"/>
              </w:rPr>
              <w:t>5</w:t>
            </w:r>
            <w:r>
              <w:rPr>
                <w:rFonts w:ascii="Times New Roman" w:hAnsi="Times New Roman" w:eastAsia="Times New Roman" w:cs="Times New Roman"/>
                <w:kern w:val="28"/>
                <w:sz w:val="24"/>
                <w:szCs w:val="24"/>
                <w:lang w:val="en-IN" w:eastAsia="en-AU" w:bidi="ar-SA"/>
              </w:rPr>
              <w:t xml:space="preserve"> </w:t>
            </w:r>
          </w:p>
        </w:tc>
        <w:tc>
          <w:tcPr>
            <w:tcW w:w="1357" w:type="dxa"/>
          </w:tcPr>
          <w:p>
            <w:pPr>
              <w:spacing w:after="0" w:line="240" w:lineRule="auto"/>
              <w:jc w:val="right"/>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AU" w:eastAsia="en-AU" w:bidi="ar-SA"/>
              </w:rPr>
              <w:t>15.70%</w:t>
            </w:r>
            <w:r>
              <w:rPr>
                <w:rFonts w:ascii="Times New Roman" w:hAnsi="Times New Roman" w:eastAsia="Times New Roman" w:cs="Times New Roman"/>
                <w:kern w:val="28"/>
                <w:sz w:val="24"/>
                <w:szCs w:val="24"/>
                <w:lang w:val="en-IN" w:eastAsia="en-AU" w:bidi="ar-SA"/>
              </w:rPr>
              <w:t xml:space="preserve"> </w:t>
            </w:r>
          </w:p>
        </w:tc>
        <w:tc>
          <w:tcPr>
            <w:tcW w:w="1357" w:type="dxa"/>
          </w:tcPr>
          <w:p>
            <w:pPr>
              <w:spacing w:after="0" w:line="240" w:lineRule="auto"/>
              <w:jc w:val="right"/>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AU" w:eastAsia="en-AU" w:bidi="ar-SA"/>
              </w:rPr>
              <w:t>165.00</w:t>
            </w:r>
            <w:r>
              <w:rPr>
                <w:rFonts w:ascii="Times New Roman" w:hAnsi="Times New Roman" w:eastAsia="Times New Roman" w:cs="Times New Roman"/>
                <w:kern w:val="28"/>
                <w:sz w:val="24"/>
                <w:szCs w:val="24"/>
                <w:lang w:val="en-IN" w:eastAsia="en-AU" w:bidi="ar-SA"/>
              </w:rPr>
              <w:t xml:space="preserve"> </w:t>
            </w:r>
          </w:p>
        </w:tc>
        <w:tc>
          <w:tcPr>
            <w:tcW w:w="1357" w:type="dxa"/>
          </w:tcPr>
          <w:p>
            <w:pPr>
              <w:spacing w:after="0" w:line="240" w:lineRule="auto"/>
              <w:jc w:val="right"/>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 xml:space="preserve">945.00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930" w:type="dxa"/>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AU" w:eastAsia="en-AU" w:bidi="ar-SA"/>
              </w:rPr>
              <w:t>7</w:t>
            </w:r>
            <w:r>
              <w:rPr>
                <w:rFonts w:ascii="Times New Roman" w:hAnsi="Times New Roman" w:eastAsia="Times New Roman" w:cs="Times New Roman"/>
                <w:kern w:val="28"/>
                <w:sz w:val="24"/>
                <w:szCs w:val="24"/>
                <w:lang w:val="en-IN" w:eastAsia="en-AU" w:bidi="ar-SA"/>
              </w:rPr>
              <w:t xml:space="preserve"> </w:t>
            </w:r>
          </w:p>
        </w:tc>
        <w:tc>
          <w:tcPr>
            <w:tcW w:w="1357" w:type="dxa"/>
          </w:tcPr>
          <w:p>
            <w:pPr>
              <w:spacing w:after="0" w:line="240" w:lineRule="auto"/>
              <w:jc w:val="right"/>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AU" w:eastAsia="en-AU" w:bidi="ar-SA"/>
              </w:rPr>
              <w:t>22.80%</w:t>
            </w:r>
            <w:r>
              <w:rPr>
                <w:rFonts w:ascii="Times New Roman" w:hAnsi="Times New Roman" w:eastAsia="Times New Roman" w:cs="Times New Roman"/>
                <w:kern w:val="28"/>
                <w:sz w:val="24"/>
                <w:szCs w:val="24"/>
                <w:lang w:val="en-IN" w:eastAsia="en-AU" w:bidi="ar-SA"/>
              </w:rPr>
              <w:t xml:space="preserve"> </w:t>
            </w:r>
          </w:p>
        </w:tc>
        <w:tc>
          <w:tcPr>
            <w:tcW w:w="1357" w:type="dxa"/>
          </w:tcPr>
          <w:p>
            <w:pPr>
              <w:spacing w:after="0" w:line="240" w:lineRule="auto"/>
              <w:jc w:val="right"/>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AU" w:eastAsia="en-AU" w:bidi="ar-SA"/>
              </w:rPr>
              <w:t>410.00</w:t>
            </w:r>
            <w:r>
              <w:rPr>
                <w:rFonts w:ascii="Times New Roman" w:hAnsi="Times New Roman" w:eastAsia="Times New Roman" w:cs="Times New Roman"/>
                <w:kern w:val="28"/>
                <w:sz w:val="24"/>
                <w:szCs w:val="24"/>
                <w:lang w:val="en-IN" w:eastAsia="en-AU" w:bidi="ar-SA"/>
              </w:rPr>
              <w:t xml:space="preserve"> </w:t>
            </w:r>
          </w:p>
        </w:tc>
        <w:tc>
          <w:tcPr>
            <w:tcW w:w="1357" w:type="dxa"/>
          </w:tcPr>
          <w:p>
            <w:pPr>
              <w:spacing w:after="0" w:line="240" w:lineRule="auto"/>
              <w:jc w:val="right"/>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 xml:space="preserve">1620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930" w:type="dxa"/>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AU" w:eastAsia="en-AU" w:bidi="ar-SA"/>
              </w:rPr>
              <w:t>10</w:t>
            </w:r>
            <w:r>
              <w:rPr>
                <w:rFonts w:ascii="Times New Roman" w:hAnsi="Times New Roman" w:eastAsia="Times New Roman" w:cs="Times New Roman"/>
                <w:kern w:val="28"/>
                <w:sz w:val="24"/>
                <w:szCs w:val="24"/>
                <w:lang w:val="en-IN" w:eastAsia="en-AU" w:bidi="ar-SA"/>
              </w:rPr>
              <w:t xml:space="preserve"> </w:t>
            </w:r>
          </w:p>
        </w:tc>
        <w:tc>
          <w:tcPr>
            <w:tcW w:w="1357" w:type="dxa"/>
          </w:tcPr>
          <w:p>
            <w:pPr>
              <w:spacing w:after="0" w:line="240" w:lineRule="auto"/>
              <w:jc w:val="right"/>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AU" w:eastAsia="en-AU" w:bidi="ar-SA"/>
              </w:rPr>
              <w:t>14.30%</w:t>
            </w:r>
            <w:r>
              <w:rPr>
                <w:rFonts w:ascii="Times New Roman" w:hAnsi="Times New Roman" w:eastAsia="Times New Roman" w:cs="Times New Roman"/>
                <w:kern w:val="28"/>
                <w:sz w:val="24"/>
                <w:szCs w:val="24"/>
                <w:lang w:val="en-IN" w:eastAsia="en-AU" w:bidi="ar-SA"/>
              </w:rPr>
              <w:t xml:space="preserve"> </w:t>
            </w:r>
          </w:p>
        </w:tc>
        <w:tc>
          <w:tcPr>
            <w:tcW w:w="1357" w:type="dxa"/>
          </w:tcPr>
          <w:p>
            <w:pPr>
              <w:spacing w:after="0" w:line="240" w:lineRule="auto"/>
              <w:jc w:val="right"/>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AU" w:eastAsia="en-AU" w:bidi="ar-SA"/>
              </w:rPr>
              <w:t>100.00</w:t>
            </w:r>
            <w:r>
              <w:rPr>
                <w:rFonts w:ascii="Times New Roman" w:hAnsi="Times New Roman" w:eastAsia="Times New Roman" w:cs="Times New Roman"/>
                <w:kern w:val="28"/>
                <w:sz w:val="24"/>
                <w:szCs w:val="24"/>
                <w:lang w:val="en-IN" w:eastAsia="en-AU" w:bidi="ar-SA"/>
              </w:rPr>
              <w:t xml:space="preserve"> </w:t>
            </w:r>
          </w:p>
        </w:tc>
        <w:tc>
          <w:tcPr>
            <w:tcW w:w="1357" w:type="dxa"/>
          </w:tcPr>
          <w:p>
            <w:pPr>
              <w:spacing w:after="0" w:line="240" w:lineRule="auto"/>
              <w:jc w:val="right"/>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 xml:space="preserve">630.00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930" w:type="dxa"/>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AU" w:eastAsia="en-AU" w:bidi="ar-SA"/>
              </w:rPr>
              <w:t>11</w:t>
            </w:r>
            <w:r>
              <w:rPr>
                <w:rFonts w:ascii="Times New Roman" w:hAnsi="Times New Roman" w:eastAsia="Times New Roman" w:cs="Times New Roman"/>
                <w:kern w:val="28"/>
                <w:sz w:val="24"/>
                <w:szCs w:val="24"/>
                <w:lang w:val="en-IN" w:eastAsia="en-AU" w:bidi="ar-SA"/>
              </w:rPr>
              <w:t xml:space="preserve"> </w:t>
            </w:r>
          </w:p>
        </w:tc>
        <w:tc>
          <w:tcPr>
            <w:tcW w:w="1357" w:type="dxa"/>
          </w:tcPr>
          <w:p>
            <w:pPr>
              <w:spacing w:after="0" w:line="240" w:lineRule="auto"/>
              <w:jc w:val="right"/>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AU" w:eastAsia="en-AU" w:bidi="ar-SA"/>
              </w:rPr>
              <w:t>17.30%</w:t>
            </w:r>
            <w:r>
              <w:rPr>
                <w:rFonts w:ascii="Times New Roman" w:hAnsi="Times New Roman" w:eastAsia="Times New Roman" w:cs="Times New Roman"/>
                <w:kern w:val="28"/>
                <w:sz w:val="24"/>
                <w:szCs w:val="24"/>
                <w:lang w:val="en-IN" w:eastAsia="en-AU" w:bidi="ar-SA"/>
              </w:rPr>
              <w:t xml:space="preserve"> </w:t>
            </w:r>
          </w:p>
        </w:tc>
        <w:tc>
          <w:tcPr>
            <w:tcW w:w="1357" w:type="dxa"/>
          </w:tcPr>
          <w:p>
            <w:pPr>
              <w:spacing w:after="0" w:line="240" w:lineRule="auto"/>
              <w:jc w:val="right"/>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AU" w:eastAsia="en-AU" w:bidi="ar-SA"/>
              </w:rPr>
              <w:t>130.00</w:t>
            </w:r>
            <w:r>
              <w:rPr>
                <w:rFonts w:ascii="Times New Roman" w:hAnsi="Times New Roman" w:eastAsia="Times New Roman" w:cs="Times New Roman"/>
                <w:kern w:val="28"/>
                <w:sz w:val="24"/>
                <w:szCs w:val="24"/>
                <w:lang w:val="en-IN" w:eastAsia="en-AU" w:bidi="ar-SA"/>
              </w:rPr>
              <w:t xml:space="preserve"> </w:t>
            </w:r>
          </w:p>
        </w:tc>
        <w:tc>
          <w:tcPr>
            <w:tcW w:w="1357" w:type="dxa"/>
          </w:tcPr>
          <w:p>
            <w:pPr>
              <w:spacing w:after="0" w:line="240" w:lineRule="auto"/>
              <w:jc w:val="right"/>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 xml:space="preserve">675.00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930" w:type="dxa"/>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 xml:space="preserve">Total </w:t>
            </w:r>
          </w:p>
        </w:tc>
        <w:tc>
          <w:tcPr>
            <w:tcW w:w="1357" w:type="dxa"/>
          </w:tcPr>
          <w:p>
            <w:pPr>
              <w:spacing w:after="0" w:line="240" w:lineRule="auto"/>
              <w:jc w:val="right"/>
              <w:rPr>
                <w:rFonts w:ascii="Times New Roman" w:hAnsi="Times New Roman" w:eastAsia="Times New Roman" w:cs="Times New Roman"/>
                <w:kern w:val="28"/>
                <w:sz w:val="24"/>
                <w:szCs w:val="24"/>
                <w:lang w:val="en-IN" w:eastAsia="en-AU" w:bidi="ar-SA"/>
              </w:rPr>
            </w:pPr>
          </w:p>
        </w:tc>
        <w:tc>
          <w:tcPr>
            <w:tcW w:w="1357" w:type="dxa"/>
          </w:tcPr>
          <w:p>
            <w:pPr>
              <w:spacing w:after="0" w:line="240" w:lineRule="auto"/>
              <w:jc w:val="right"/>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 xml:space="preserve">1115.00 </w:t>
            </w:r>
          </w:p>
        </w:tc>
        <w:tc>
          <w:tcPr>
            <w:tcW w:w="1357" w:type="dxa"/>
          </w:tcPr>
          <w:p>
            <w:pPr>
              <w:spacing w:after="0" w:line="240" w:lineRule="auto"/>
              <w:jc w:val="right"/>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 xml:space="preserve">5591.7 </w:t>
            </w:r>
          </w:p>
        </w:tc>
      </w:tr>
    </w:tbl>
    <w:p>
      <w:pPr>
        <w:spacing w:after="0" w:line="360" w:lineRule="auto"/>
        <w:jc w:val="both"/>
        <w:rPr>
          <w:rFonts w:ascii="Times New Roman" w:hAnsi="Times New Roman" w:eastAsia="Times New Roman" w:cs="Times New Roman"/>
          <w:kern w:val="28"/>
          <w:sz w:val="24"/>
          <w:szCs w:val="24"/>
          <w:lang w:val="en-AU" w:eastAsia="en-AU" w:bidi="ar-SA"/>
        </w:rPr>
      </w:pPr>
    </w:p>
    <w:p>
      <w:pPr>
        <w:spacing w:after="0" w:line="360" w:lineRule="auto"/>
        <w:jc w:val="both"/>
        <w:rPr>
          <w:rFonts w:ascii="Times New Roman" w:hAnsi="Times New Roman" w:eastAsia="Times New Roman" w:cs="Times New Roman"/>
          <w:kern w:val="28"/>
          <w:sz w:val="24"/>
          <w:szCs w:val="24"/>
          <w:lang w:val="en-AU" w:eastAsia="en-AU" w:bidi="ar-SA"/>
        </w:rPr>
      </w:pPr>
      <w:r>
        <w:rPr>
          <w:rFonts w:ascii="Times New Roman" w:hAnsi="Times New Roman" w:eastAsia="Times New Roman" w:cs="Times New Roman"/>
          <w:kern w:val="28"/>
          <w:sz w:val="24"/>
          <w:szCs w:val="24"/>
          <w:lang w:val="en-AU" w:eastAsia="en-AU" w:bidi="ar-SA"/>
        </w:rPr>
        <w:t xml:space="preserve">The NPV is highest for the Project is highest for the project 7 and project 4 is the second highest on the list. The rest of the projects are selected because they meet the requirements issued by the board. The table below will exhibit the total spending of the company and a breakdown of how much they spent on each project. The total worth of the CAPEX after the end of all projects would be 5.59 billion and the NPV would be 1.15 billion. </w:t>
      </w:r>
    </w:p>
    <w:p>
      <w:pPr>
        <w:spacing w:after="0" w:line="360" w:lineRule="auto"/>
        <w:jc w:val="both"/>
        <w:rPr>
          <w:rFonts w:ascii="Times New Roman" w:hAnsi="Times New Roman" w:eastAsia="Times New Roman" w:cs="Times New Roman"/>
          <w:kern w:val="28"/>
          <w:sz w:val="24"/>
          <w:szCs w:val="24"/>
          <w:lang w:val="en-AU" w:eastAsia="en-AU" w:bidi="ar-SA"/>
        </w:rPr>
      </w:pPr>
    </w:p>
    <w:p>
      <w:pPr>
        <w:pStyle w:val="12"/>
        <w:keepNext/>
      </w:pPr>
      <w:r>
        <w:t xml:space="preserve">Table </w:t>
      </w:r>
      <w:r>
        <w:fldChar w:fldCharType="begin"/>
      </w:r>
      <w:r>
        <w:instrText xml:space="preserve"> SEQ Table \* ARABIC </w:instrText>
      </w:r>
      <w:r>
        <w:fldChar w:fldCharType="separate"/>
      </w:r>
      <w:r>
        <w:t>6</w:t>
      </w:r>
      <w:r>
        <w:fldChar w:fldCharType="end"/>
      </w:r>
      <w:r>
        <w:t xml:space="preserve"> Breakdown</w:t>
      </w:r>
    </w:p>
    <w:tbl>
      <w:tblPr>
        <w:tblStyle w:val="19"/>
        <w:tblW w:w="6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0"/>
        <w:gridCol w:w="2020"/>
        <w:gridCol w:w="14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580" w:type="dxa"/>
          </w:tcPr>
          <w:p>
            <w:pPr>
              <w:spacing w:after="0" w:line="360" w:lineRule="auto"/>
              <w:jc w:val="both"/>
              <w:rPr>
                <w:rFonts w:ascii="Times New Roman" w:hAnsi="Times New Roman" w:eastAsia="Times New Roman" w:cs="Times New Roman"/>
                <w:kern w:val="28"/>
                <w:sz w:val="24"/>
                <w:szCs w:val="24"/>
                <w:lang w:val="en-IN" w:eastAsia="en-AU" w:bidi="ar-SA"/>
              </w:rPr>
            </w:pPr>
          </w:p>
        </w:tc>
        <w:tc>
          <w:tcPr>
            <w:tcW w:w="2020" w:type="dxa"/>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Year 1</w:t>
            </w:r>
          </w:p>
        </w:tc>
        <w:tc>
          <w:tcPr>
            <w:tcW w:w="1420" w:type="dxa"/>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Year 2</w:t>
            </w:r>
          </w:p>
        </w:tc>
        <w:tc>
          <w:tcPr>
            <w:tcW w:w="1440" w:type="dxa"/>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Year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580" w:type="dxa"/>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Company</w:t>
            </w:r>
          </w:p>
        </w:tc>
        <w:tc>
          <w:tcPr>
            <w:tcW w:w="2020" w:type="dxa"/>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2038.5</w:t>
            </w:r>
          </w:p>
        </w:tc>
        <w:tc>
          <w:tcPr>
            <w:tcW w:w="1420" w:type="dxa"/>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1889.1</w:t>
            </w:r>
          </w:p>
        </w:tc>
        <w:tc>
          <w:tcPr>
            <w:tcW w:w="1440" w:type="dxa"/>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1664.1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580" w:type="dxa"/>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FA1</w:t>
            </w:r>
          </w:p>
        </w:tc>
        <w:tc>
          <w:tcPr>
            <w:tcW w:w="2020" w:type="dxa"/>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958.5</w:t>
            </w:r>
          </w:p>
        </w:tc>
        <w:tc>
          <w:tcPr>
            <w:tcW w:w="1420" w:type="dxa"/>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899</w:t>
            </w:r>
          </w:p>
        </w:tc>
        <w:tc>
          <w:tcPr>
            <w:tcW w:w="1440" w:type="dxa"/>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580" w:type="dxa"/>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FA2</w:t>
            </w:r>
          </w:p>
        </w:tc>
        <w:tc>
          <w:tcPr>
            <w:tcW w:w="2020" w:type="dxa"/>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675</w:t>
            </w:r>
          </w:p>
        </w:tc>
        <w:tc>
          <w:tcPr>
            <w:tcW w:w="1420" w:type="dxa"/>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675</w:t>
            </w:r>
          </w:p>
        </w:tc>
        <w:tc>
          <w:tcPr>
            <w:tcW w:w="1440" w:type="dxa"/>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580" w:type="dxa"/>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FA3</w:t>
            </w:r>
          </w:p>
        </w:tc>
        <w:tc>
          <w:tcPr>
            <w:tcW w:w="2020" w:type="dxa"/>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405</w:t>
            </w:r>
          </w:p>
        </w:tc>
        <w:tc>
          <w:tcPr>
            <w:tcW w:w="1420" w:type="dxa"/>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405</w:t>
            </w:r>
          </w:p>
        </w:tc>
        <w:tc>
          <w:tcPr>
            <w:tcW w:w="1440" w:type="dxa"/>
          </w:tcPr>
          <w:p>
            <w:pPr>
              <w:spacing w:after="0" w:line="360" w:lineRule="auto"/>
              <w:jc w:val="both"/>
              <w:rPr>
                <w:rFonts w:ascii="Times New Roman" w:hAnsi="Times New Roman" w:eastAsia="Times New Roman" w:cs="Times New Roman"/>
                <w:kern w:val="28"/>
                <w:sz w:val="24"/>
                <w:szCs w:val="24"/>
                <w:lang w:val="en-IN" w:eastAsia="en-AU" w:bidi="ar-SA"/>
              </w:rPr>
            </w:pPr>
            <w:r>
              <w:rPr>
                <w:rFonts w:ascii="Times New Roman" w:hAnsi="Times New Roman" w:eastAsia="Times New Roman" w:cs="Times New Roman"/>
                <w:kern w:val="28"/>
                <w:sz w:val="24"/>
                <w:szCs w:val="24"/>
                <w:lang w:val="en-IN" w:eastAsia="en-AU" w:bidi="ar-SA"/>
              </w:rPr>
              <w:t>495</w:t>
            </w:r>
          </w:p>
        </w:tc>
      </w:tr>
    </w:tbl>
    <w:p>
      <w:pPr>
        <w:spacing w:after="0" w:line="360" w:lineRule="auto"/>
        <w:jc w:val="both"/>
        <w:rPr>
          <w:rFonts w:ascii="Times New Roman" w:hAnsi="Times New Roman" w:eastAsia="Times New Roman" w:cs="Times New Roman"/>
          <w:kern w:val="28"/>
          <w:sz w:val="24"/>
          <w:szCs w:val="24"/>
          <w:lang w:val="en-AU" w:eastAsia="en-AU" w:bidi="ar-SA"/>
        </w:rPr>
      </w:pPr>
    </w:p>
    <w:p>
      <w:pPr>
        <w:spacing w:after="0" w:line="360" w:lineRule="auto"/>
        <w:jc w:val="both"/>
        <w:rPr>
          <w:rFonts w:ascii="Times New Roman" w:hAnsi="Times New Roman" w:eastAsia="Times New Roman" w:cs="Times New Roman"/>
          <w:kern w:val="28"/>
          <w:sz w:val="24"/>
          <w:szCs w:val="24"/>
          <w:lang w:val="en-AU" w:eastAsia="en-AU" w:bidi="ar-SA"/>
        </w:rPr>
      </w:pPr>
      <w:r>
        <w:rPr>
          <w:rFonts w:ascii="Times New Roman" w:hAnsi="Times New Roman" w:eastAsia="Times New Roman" w:cs="Times New Roman"/>
          <w:kern w:val="28"/>
          <w:sz w:val="24"/>
          <w:szCs w:val="24"/>
          <w:lang w:val="en-AU" w:eastAsia="en-AU" w:bidi="ar-SA"/>
        </w:rPr>
        <w:t xml:space="preserve">The Part-C chart will exhibit the table above in a chart format. </w:t>
      </w:r>
    </w:p>
    <w:p>
      <w:pPr>
        <w:keepNext/>
        <w:spacing w:after="0" w:line="360" w:lineRule="auto"/>
        <w:jc w:val="both"/>
      </w:pPr>
      <w:r>
        <w:rPr>
          <w:rFonts w:ascii="Times New Roman" w:hAnsi="Times New Roman" w:eastAsia="Times New Roman" w:cs="Times New Roman"/>
          <w:kern w:val="28"/>
          <w:sz w:val="24"/>
          <w:szCs w:val="24"/>
          <w:lang w:val="en-AU" w:eastAsia="en-AU" w:bidi="ar-SA"/>
        </w:rPr>
        <w:drawing>
          <wp:inline distT="0" distB="0" distL="0" distR="0">
            <wp:extent cx="4572000" cy="274320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12"/>
        <w:jc w:val="both"/>
        <w:rPr>
          <w:rFonts w:ascii="Times New Roman" w:hAnsi="Times New Roman" w:eastAsia="Times New Roman" w:cs="Times New Roman"/>
          <w:kern w:val="28"/>
          <w:sz w:val="24"/>
          <w:szCs w:val="24"/>
          <w:lang w:val="en-AU" w:eastAsia="en-AU" w:bidi="ar-SA"/>
        </w:rPr>
      </w:pPr>
      <w:r>
        <w:t xml:space="preserve">Figure </w:t>
      </w:r>
      <w:r>
        <w:fldChar w:fldCharType="begin"/>
      </w:r>
      <w:r>
        <w:instrText xml:space="preserve"> SEQ Figure \* ARABIC </w:instrText>
      </w:r>
      <w:r>
        <w:fldChar w:fldCharType="separate"/>
      </w:r>
      <w:r>
        <w:t>5</w:t>
      </w:r>
      <w:r>
        <w:fldChar w:fldCharType="end"/>
      </w:r>
      <w:r>
        <w:t xml:space="preserve"> Part-C</w:t>
      </w:r>
    </w:p>
    <w:p>
      <w:pPr>
        <w:spacing w:after="0" w:line="360" w:lineRule="auto"/>
        <w:jc w:val="both"/>
        <w:rPr>
          <w:rFonts w:ascii="Times New Roman" w:hAnsi="Times New Roman" w:eastAsia="Times New Roman" w:cs="Times New Roman"/>
          <w:kern w:val="28"/>
          <w:sz w:val="24"/>
          <w:szCs w:val="24"/>
          <w:lang w:val="en-AU" w:eastAsia="en-AU" w:bidi="ar-SA"/>
        </w:rPr>
      </w:pPr>
    </w:p>
    <w:p>
      <w:pPr>
        <w:spacing w:line="360" w:lineRule="auto"/>
        <w:jc w:val="both"/>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Franklin Gothic Book">
    <w:panose1 w:val="020B0503020102020204"/>
    <w:charset w:val="86"/>
    <w:family w:val="swiss"/>
    <w:pitch w:val="default"/>
    <w:sig w:usb0="00000287" w:usb1="00000000" w:usb2="00000000" w:usb3="00000000" w:csb0="2000009F" w:csb1="DFD70000"/>
  </w:font>
  <w:font w:name="Franklin Gothic Book">
    <w:panose1 w:val="020B0503020102020204"/>
    <w:charset w:val="00"/>
    <w:family w:val="auto"/>
    <w:pitch w:val="default"/>
    <w:sig w:usb0="00000287" w:usb1="00000000" w:usb2="00000000" w:usb3="00000000" w:csb0="2000009F" w:csb1="DFD70000"/>
  </w:font>
  <w:font w:name="Franklin Gothic Medium">
    <w:panose1 w:val="020B0603020102020204"/>
    <w:charset w:val="00"/>
    <w:family w:val="swiss"/>
    <w:pitch w:val="default"/>
    <w:sig w:usb0="00000287" w:usb1="00000000" w:usb2="00000000" w:usb3="00000000" w:csb0="2000009F" w:csb1="DFD70000"/>
  </w:font>
  <w:font w:name="隶书">
    <w:altName w:val="Microsoft YaHei"/>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wNTOyNDIxsTQzMjNU0lEKTi0uzszPAykwrAUACOl4MywAAAA="/>
  </w:docVars>
  <w:rsids>
    <w:rsidRoot w:val="00C54D3D"/>
    <w:rsid w:val="00291DB0"/>
    <w:rsid w:val="00331E67"/>
    <w:rsid w:val="003777C7"/>
    <w:rsid w:val="003B0863"/>
    <w:rsid w:val="003D2C3C"/>
    <w:rsid w:val="004D5D15"/>
    <w:rsid w:val="004F4154"/>
    <w:rsid w:val="00622A44"/>
    <w:rsid w:val="00884DDA"/>
    <w:rsid w:val="009518F7"/>
    <w:rsid w:val="00970869"/>
    <w:rsid w:val="009E475F"/>
    <w:rsid w:val="00A13D0D"/>
    <w:rsid w:val="00A422C3"/>
    <w:rsid w:val="00A431C3"/>
    <w:rsid w:val="00A538F5"/>
    <w:rsid w:val="00BE2E59"/>
    <w:rsid w:val="00C54D3D"/>
    <w:rsid w:val="00C7596D"/>
    <w:rsid w:val="00CA77CC"/>
    <w:rsid w:val="00D07937"/>
    <w:rsid w:val="00D641D2"/>
    <w:rsid w:val="00DE4C10"/>
    <w:rsid w:val="00DE66B7"/>
    <w:rsid w:val="00E6194F"/>
    <w:rsid w:val="00E916FF"/>
    <w:rsid w:val="00F52C74"/>
    <w:rsid w:val="00F57FED"/>
    <w:rsid w:val="00FC4117"/>
    <w:rsid w:val="52242169"/>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en-US"/>
    </w:rPr>
  </w:style>
  <w:style w:type="paragraph" w:styleId="2">
    <w:name w:val="heading 1"/>
    <w:basedOn w:val="1"/>
    <w:next w:val="1"/>
    <w:link w:val="20"/>
    <w:qFormat/>
    <w:uiPriority w:val="9"/>
    <w:pPr>
      <w:keepNext/>
      <w:keepLines/>
      <w:spacing w:before="480" w:after="0"/>
      <w:outlineLvl w:val="0"/>
    </w:pPr>
    <w:rPr>
      <w:rFonts w:asciiTheme="majorHAnsi" w:hAnsiTheme="majorHAnsi" w:eastAsiaTheme="majorEastAsia" w:cstheme="majorBidi"/>
      <w:b/>
      <w:bCs/>
      <w:color w:val="2E75B5" w:themeColor="accent1" w:themeShade="BF"/>
      <w:sz w:val="28"/>
      <w:szCs w:val="28"/>
    </w:rPr>
  </w:style>
  <w:style w:type="paragraph" w:styleId="3">
    <w:name w:val="heading 2"/>
    <w:basedOn w:val="1"/>
    <w:next w:val="1"/>
    <w:link w:val="21"/>
    <w:semiHidden/>
    <w:unhideWhenUsed/>
    <w:qFormat/>
    <w:uiPriority w:val="9"/>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4">
    <w:name w:val="heading 3"/>
    <w:basedOn w:val="1"/>
    <w:next w:val="1"/>
    <w:link w:val="22"/>
    <w:semiHidden/>
    <w:unhideWhenUsed/>
    <w:qFormat/>
    <w:uiPriority w:val="9"/>
    <w:pPr>
      <w:keepNext/>
      <w:keepLines/>
      <w:spacing w:before="200" w:after="0"/>
      <w:outlineLvl w:val="2"/>
    </w:pPr>
    <w:rPr>
      <w:rFonts w:asciiTheme="majorHAnsi" w:hAnsiTheme="majorHAnsi" w:eastAsiaTheme="majorEastAsia" w:cstheme="majorBidi"/>
      <w:b/>
      <w:bCs/>
      <w:color w:val="5B9BD5" w:themeColor="accent1"/>
    </w:rPr>
  </w:style>
  <w:style w:type="paragraph" w:styleId="5">
    <w:name w:val="heading 4"/>
    <w:basedOn w:val="1"/>
    <w:next w:val="1"/>
    <w:link w:val="23"/>
    <w:semiHidden/>
    <w:unhideWhenUsed/>
    <w:qFormat/>
    <w:uiPriority w:val="9"/>
    <w:pPr>
      <w:keepNext/>
      <w:keepLines/>
      <w:spacing w:before="200" w:after="0"/>
      <w:outlineLvl w:val="3"/>
    </w:pPr>
    <w:rPr>
      <w:rFonts w:asciiTheme="majorHAnsi" w:hAnsiTheme="majorHAnsi" w:eastAsiaTheme="majorEastAsia" w:cstheme="majorBidi"/>
      <w:b/>
      <w:bCs/>
      <w:i/>
      <w:iCs/>
      <w:color w:val="5B9BD5" w:themeColor="accent1"/>
    </w:rPr>
  </w:style>
  <w:style w:type="paragraph" w:styleId="6">
    <w:name w:val="heading 5"/>
    <w:basedOn w:val="1"/>
    <w:next w:val="1"/>
    <w:link w:val="24"/>
    <w:semiHidden/>
    <w:unhideWhenUsed/>
    <w:qFormat/>
    <w:uiPriority w:val="9"/>
    <w:pPr>
      <w:keepNext/>
      <w:keepLines/>
      <w:spacing w:before="200" w:after="0"/>
      <w:outlineLvl w:val="4"/>
    </w:pPr>
    <w:rPr>
      <w:rFonts w:asciiTheme="majorHAnsi" w:hAnsiTheme="majorHAnsi" w:eastAsiaTheme="majorEastAsia" w:cstheme="majorBidi"/>
      <w:color w:val="1E4D78" w:themeColor="accent1" w:themeShade="7F"/>
    </w:rPr>
  </w:style>
  <w:style w:type="paragraph" w:styleId="7">
    <w:name w:val="heading 6"/>
    <w:basedOn w:val="1"/>
    <w:next w:val="1"/>
    <w:link w:val="25"/>
    <w:semiHidden/>
    <w:unhideWhenUsed/>
    <w:qFormat/>
    <w:uiPriority w:val="9"/>
    <w:pPr>
      <w:keepNext/>
      <w:keepLines/>
      <w:spacing w:before="200" w:after="0"/>
      <w:outlineLvl w:val="5"/>
    </w:pPr>
    <w:rPr>
      <w:rFonts w:asciiTheme="majorHAnsi" w:hAnsiTheme="majorHAnsi" w:eastAsiaTheme="majorEastAsia" w:cstheme="majorBidi"/>
      <w:i/>
      <w:iCs/>
      <w:color w:val="1E4D78" w:themeColor="accent1" w:themeShade="7F"/>
    </w:rPr>
  </w:style>
  <w:style w:type="paragraph" w:styleId="8">
    <w:name w:val="heading 7"/>
    <w:basedOn w:val="1"/>
    <w:next w:val="1"/>
    <w:link w:val="26"/>
    <w:semiHidden/>
    <w:unhideWhenUsed/>
    <w:qFormat/>
    <w:uiPriority w:val="9"/>
    <w:pPr>
      <w:keepNext/>
      <w:keepLines/>
      <w:spacing w:before="200" w:after="0"/>
      <w:outlineLvl w:val="6"/>
    </w:pPr>
    <w:rPr>
      <w:rFonts w:asciiTheme="majorHAnsi" w:hAnsiTheme="majorHAnsi" w:eastAsiaTheme="majorEastAsia" w:cstheme="majorBidi"/>
      <w:i/>
      <w:iCs/>
      <w:color w:val="3F3F3F" w:themeColor="text1" w:themeTint="BF"/>
    </w:rPr>
  </w:style>
  <w:style w:type="paragraph" w:styleId="9">
    <w:name w:val="heading 8"/>
    <w:basedOn w:val="1"/>
    <w:next w:val="1"/>
    <w:link w:val="27"/>
    <w:semiHidden/>
    <w:unhideWhenUsed/>
    <w:qFormat/>
    <w:uiPriority w:val="9"/>
    <w:pPr>
      <w:keepNext/>
      <w:keepLines/>
      <w:spacing w:before="200" w:after="0"/>
      <w:outlineLvl w:val="7"/>
    </w:pPr>
    <w:rPr>
      <w:rFonts w:asciiTheme="majorHAnsi" w:hAnsiTheme="majorHAnsi" w:eastAsiaTheme="majorEastAsia" w:cstheme="majorBidi"/>
      <w:color w:val="5B9BD5" w:themeColor="accent1"/>
      <w:sz w:val="20"/>
      <w:szCs w:val="20"/>
    </w:rPr>
  </w:style>
  <w:style w:type="paragraph" w:styleId="10">
    <w:name w:val="heading 9"/>
    <w:basedOn w:val="1"/>
    <w:next w:val="1"/>
    <w:link w:val="28"/>
    <w:semiHidden/>
    <w:unhideWhenUsed/>
    <w:qFormat/>
    <w:uiPriority w:val="9"/>
    <w:pPr>
      <w:keepNext/>
      <w:keepLines/>
      <w:spacing w:before="200" w:after="0"/>
      <w:outlineLvl w:val="8"/>
    </w:pPr>
    <w:rPr>
      <w:rFonts w:asciiTheme="majorHAnsi" w:hAnsiTheme="majorHAnsi" w:eastAsiaTheme="majorEastAsia" w:cstheme="majorBidi"/>
      <w:i/>
      <w:iCs/>
      <w:color w:val="3F3F3F" w:themeColor="text1" w:themeTint="BF"/>
      <w:sz w:val="20"/>
      <w:szCs w:val="20"/>
    </w:rPr>
  </w:style>
  <w:style w:type="character" w:default="1" w:styleId="15">
    <w:name w:val="Default Paragraph Font"/>
    <w:unhideWhenUsed/>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11">
    <w:name w:val="Balloon Text"/>
    <w:basedOn w:val="1"/>
    <w:link w:val="44"/>
    <w:semiHidden/>
    <w:unhideWhenUsed/>
    <w:qFormat/>
    <w:uiPriority w:val="99"/>
    <w:pPr>
      <w:spacing w:after="0" w:line="240" w:lineRule="auto"/>
    </w:pPr>
    <w:rPr>
      <w:rFonts w:ascii="Tahoma" w:hAnsi="Tahoma" w:cs="Tahoma"/>
      <w:sz w:val="16"/>
      <w:szCs w:val="16"/>
    </w:rPr>
  </w:style>
  <w:style w:type="paragraph" w:styleId="12">
    <w:name w:val="caption"/>
    <w:basedOn w:val="1"/>
    <w:next w:val="1"/>
    <w:unhideWhenUsed/>
    <w:qFormat/>
    <w:uiPriority w:val="35"/>
    <w:pPr>
      <w:spacing w:line="240" w:lineRule="auto"/>
    </w:pPr>
    <w:rPr>
      <w:b/>
      <w:bCs/>
      <w:color w:val="5B9BD5" w:themeColor="accent1"/>
      <w:sz w:val="18"/>
      <w:szCs w:val="18"/>
    </w:rPr>
  </w:style>
  <w:style w:type="paragraph" w:styleId="13">
    <w:name w:val="Subtitle"/>
    <w:basedOn w:val="1"/>
    <w:next w:val="1"/>
    <w:link w:val="30"/>
    <w:qFormat/>
    <w:uiPriority w:val="11"/>
    <w:rPr>
      <w:rFonts w:asciiTheme="majorHAnsi" w:hAnsiTheme="majorHAnsi" w:eastAsiaTheme="majorEastAsia" w:cstheme="majorBidi"/>
      <w:i/>
      <w:iCs/>
      <w:color w:val="5B9BD5" w:themeColor="accent1"/>
      <w:spacing w:val="15"/>
      <w:sz w:val="24"/>
      <w:szCs w:val="24"/>
    </w:rPr>
  </w:style>
  <w:style w:type="paragraph" w:styleId="14">
    <w:name w:val="Title"/>
    <w:basedOn w:val="1"/>
    <w:next w:val="1"/>
    <w:link w:val="29"/>
    <w:qFormat/>
    <w:uiPriority w:val="10"/>
    <w:pPr>
      <w:pBdr>
        <w:bottom w:val="single" w:color="5B9BD5" w:themeColor="accent1" w:sz="8" w:space="4"/>
      </w:pBdr>
      <w:spacing w:after="300" w:line="240" w:lineRule="auto"/>
      <w:contextualSpacing/>
    </w:pPr>
    <w:rPr>
      <w:rFonts w:asciiTheme="majorHAnsi" w:hAnsiTheme="majorHAnsi" w:eastAsiaTheme="majorEastAsia" w:cstheme="majorBidi"/>
      <w:color w:val="323E4F" w:themeColor="text2" w:themeShade="BF"/>
      <w:spacing w:val="5"/>
      <w:kern w:val="28"/>
      <w:sz w:val="52"/>
      <w:szCs w:val="52"/>
    </w:rPr>
  </w:style>
  <w:style w:type="character" w:styleId="16">
    <w:name w:val="Emphasis"/>
    <w:basedOn w:val="15"/>
    <w:qFormat/>
    <w:uiPriority w:val="20"/>
    <w:rPr>
      <w:i/>
      <w:iCs/>
    </w:rPr>
  </w:style>
  <w:style w:type="character" w:styleId="17">
    <w:name w:val="Strong"/>
    <w:basedOn w:val="15"/>
    <w:qFormat/>
    <w:uiPriority w:val="22"/>
    <w:rPr>
      <w:b/>
      <w:bCs/>
    </w:rPr>
  </w:style>
  <w:style w:type="table" w:styleId="19">
    <w:name w:val="Table Grid"/>
    <w:basedOn w:val="18"/>
    <w:qFormat/>
    <w:uiPriority w:val="0"/>
    <w:pPr>
      <w:spacing w:after="0" w:line="240" w:lineRule="auto"/>
    </w:pPr>
    <w:rPr>
      <w:rFonts w:ascii="Times New Roman" w:hAnsi="Times New Roman" w:eastAsia="Times New Roman" w:cs="Times New Roman"/>
      <w:sz w:val="20"/>
      <w:szCs w:val="20"/>
      <w:lang w:val="en-AU" w:eastAsia="en-AU"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0">
    <w:name w:val="Heading 1 Char"/>
    <w:basedOn w:val="15"/>
    <w:link w:val="2"/>
    <w:uiPriority w:val="9"/>
    <w:rPr>
      <w:rFonts w:asciiTheme="majorHAnsi" w:hAnsiTheme="majorHAnsi" w:eastAsiaTheme="majorEastAsia" w:cstheme="majorBidi"/>
      <w:b/>
      <w:bCs/>
      <w:color w:val="2E75B5" w:themeColor="accent1" w:themeShade="BF"/>
      <w:sz w:val="28"/>
      <w:szCs w:val="28"/>
    </w:rPr>
  </w:style>
  <w:style w:type="character" w:customStyle="1" w:styleId="21">
    <w:name w:val="Heading 2 Char"/>
    <w:basedOn w:val="15"/>
    <w:link w:val="3"/>
    <w:semiHidden/>
    <w:qFormat/>
    <w:uiPriority w:val="9"/>
    <w:rPr>
      <w:rFonts w:asciiTheme="majorHAnsi" w:hAnsiTheme="majorHAnsi" w:eastAsiaTheme="majorEastAsia" w:cstheme="majorBidi"/>
      <w:b/>
      <w:bCs/>
      <w:color w:val="5B9BD5" w:themeColor="accent1"/>
      <w:sz w:val="26"/>
      <w:szCs w:val="26"/>
    </w:rPr>
  </w:style>
  <w:style w:type="character" w:customStyle="1" w:styleId="22">
    <w:name w:val="Heading 3 Char"/>
    <w:basedOn w:val="15"/>
    <w:link w:val="4"/>
    <w:qFormat/>
    <w:uiPriority w:val="9"/>
    <w:rPr>
      <w:rFonts w:asciiTheme="majorHAnsi" w:hAnsiTheme="majorHAnsi" w:eastAsiaTheme="majorEastAsia" w:cstheme="majorBidi"/>
      <w:b/>
      <w:bCs/>
      <w:color w:val="5B9BD5" w:themeColor="accent1"/>
    </w:rPr>
  </w:style>
  <w:style w:type="character" w:customStyle="1" w:styleId="23">
    <w:name w:val="Heading 4 Char"/>
    <w:basedOn w:val="15"/>
    <w:link w:val="5"/>
    <w:qFormat/>
    <w:uiPriority w:val="9"/>
    <w:rPr>
      <w:rFonts w:asciiTheme="majorHAnsi" w:hAnsiTheme="majorHAnsi" w:eastAsiaTheme="majorEastAsia" w:cstheme="majorBidi"/>
      <w:b/>
      <w:bCs/>
      <w:i/>
      <w:iCs/>
      <w:color w:val="5B9BD5" w:themeColor="accent1"/>
    </w:rPr>
  </w:style>
  <w:style w:type="character" w:customStyle="1" w:styleId="24">
    <w:name w:val="Heading 5 Char"/>
    <w:basedOn w:val="15"/>
    <w:link w:val="6"/>
    <w:qFormat/>
    <w:uiPriority w:val="9"/>
    <w:rPr>
      <w:rFonts w:asciiTheme="majorHAnsi" w:hAnsiTheme="majorHAnsi" w:eastAsiaTheme="majorEastAsia" w:cstheme="majorBidi"/>
      <w:color w:val="1E4D78" w:themeColor="accent1" w:themeShade="7F"/>
    </w:rPr>
  </w:style>
  <w:style w:type="character" w:customStyle="1" w:styleId="25">
    <w:name w:val="Heading 6 Char"/>
    <w:basedOn w:val="15"/>
    <w:link w:val="7"/>
    <w:qFormat/>
    <w:uiPriority w:val="9"/>
    <w:rPr>
      <w:rFonts w:asciiTheme="majorHAnsi" w:hAnsiTheme="majorHAnsi" w:eastAsiaTheme="majorEastAsia" w:cstheme="majorBidi"/>
      <w:i/>
      <w:iCs/>
      <w:color w:val="1E4D78" w:themeColor="accent1" w:themeShade="7F"/>
    </w:rPr>
  </w:style>
  <w:style w:type="character" w:customStyle="1" w:styleId="26">
    <w:name w:val="Heading 7 Char"/>
    <w:basedOn w:val="15"/>
    <w:link w:val="8"/>
    <w:uiPriority w:val="9"/>
    <w:rPr>
      <w:rFonts w:asciiTheme="majorHAnsi" w:hAnsiTheme="majorHAnsi" w:eastAsiaTheme="majorEastAsia" w:cstheme="majorBidi"/>
      <w:i/>
      <w:iCs/>
      <w:color w:val="3F3F3F" w:themeColor="text1" w:themeTint="BF"/>
    </w:rPr>
  </w:style>
  <w:style w:type="character" w:customStyle="1" w:styleId="27">
    <w:name w:val="Heading 8 Char"/>
    <w:basedOn w:val="15"/>
    <w:link w:val="9"/>
    <w:qFormat/>
    <w:uiPriority w:val="9"/>
    <w:rPr>
      <w:rFonts w:asciiTheme="majorHAnsi" w:hAnsiTheme="majorHAnsi" w:eastAsiaTheme="majorEastAsia" w:cstheme="majorBidi"/>
      <w:color w:val="5B9BD5" w:themeColor="accent1"/>
      <w:sz w:val="20"/>
      <w:szCs w:val="20"/>
    </w:rPr>
  </w:style>
  <w:style w:type="character" w:customStyle="1" w:styleId="28">
    <w:name w:val="Heading 9 Char"/>
    <w:basedOn w:val="15"/>
    <w:link w:val="10"/>
    <w:qFormat/>
    <w:uiPriority w:val="9"/>
    <w:rPr>
      <w:rFonts w:asciiTheme="majorHAnsi" w:hAnsiTheme="majorHAnsi" w:eastAsiaTheme="majorEastAsia" w:cstheme="majorBidi"/>
      <w:i/>
      <w:iCs/>
      <w:color w:val="3F3F3F" w:themeColor="text1" w:themeTint="BF"/>
      <w:sz w:val="20"/>
      <w:szCs w:val="20"/>
    </w:rPr>
  </w:style>
  <w:style w:type="character" w:customStyle="1" w:styleId="29">
    <w:name w:val="Title Char"/>
    <w:basedOn w:val="15"/>
    <w:link w:val="14"/>
    <w:qFormat/>
    <w:uiPriority w:val="10"/>
    <w:rPr>
      <w:rFonts w:asciiTheme="majorHAnsi" w:hAnsiTheme="majorHAnsi" w:eastAsiaTheme="majorEastAsia" w:cstheme="majorBidi"/>
      <w:color w:val="323E4F" w:themeColor="text2" w:themeShade="BF"/>
      <w:spacing w:val="5"/>
      <w:kern w:val="28"/>
      <w:sz w:val="52"/>
      <w:szCs w:val="52"/>
    </w:rPr>
  </w:style>
  <w:style w:type="character" w:customStyle="1" w:styleId="30">
    <w:name w:val="Subtitle Char"/>
    <w:basedOn w:val="15"/>
    <w:link w:val="13"/>
    <w:qFormat/>
    <w:uiPriority w:val="11"/>
    <w:rPr>
      <w:rFonts w:asciiTheme="majorHAnsi" w:hAnsiTheme="majorHAnsi" w:eastAsiaTheme="majorEastAsia" w:cstheme="majorBidi"/>
      <w:i/>
      <w:iCs/>
      <w:color w:val="5B9BD5" w:themeColor="accent1"/>
      <w:spacing w:val="15"/>
      <w:sz w:val="24"/>
      <w:szCs w:val="24"/>
    </w:rPr>
  </w:style>
  <w:style w:type="paragraph" w:styleId="31">
    <w:name w:val="No Spacing"/>
    <w:link w:val="32"/>
    <w:qFormat/>
    <w:uiPriority w:val="1"/>
    <w:pPr>
      <w:spacing w:after="0" w:line="240" w:lineRule="auto"/>
    </w:pPr>
    <w:rPr>
      <w:rFonts w:asciiTheme="minorHAnsi" w:hAnsiTheme="minorHAnsi" w:eastAsiaTheme="minorHAnsi" w:cstheme="minorBidi"/>
      <w:sz w:val="22"/>
      <w:szCs w:val="22"/>
      <w:lang w:val="en-US" w:eastAsia="en-US" w:bidi="en-US"/>
    </w:rPr>
  </w:style>
  <w:style w:type="character" w:customStyle="1" w:styleId="32">
    <w:name w:val="No Spacing Char"/>
    <w:basedOn w:val="15"/>
    <w:link w:val="31"/>
    <w:qFormat/>
    <w:uiPriority w:val="1"/>
  </w:style>
  <w:style w:type="paragraph" w:styleId="33">
    <w:name w:val="List Paragraph"/>
    <w:basedOn w:val="1"/>
    <w:qFormat/>
    <w:uiPriority w:val="34"/>
    <w:pPr>
      <w:ind w:left="720"/>
      <w:contextualSpacing/>
    </w:pPr>
  </w:style>
  <w:style w:type="paragraph" w:styleId="34">
    <w:name w:val="Quote"/>
    <w:basedOn w:val="1"/>
    <w:next w:val="1"/>
    <w:link w:val="35"/>
    <w:qFormat/>
    <w:uiPriority w:val="29"/>
    <w:rPr>
      <w:i/>
      <w:iCs/>
      <w:color w:val="000000" w:themeColor="text1"/>
    </w:rPr>
  </w:style>
  <w:style w:type="character" w:customStyle="1" w:styleId="35">
    <w:name w:val="Quote Char"/>
    <w:basedOn w:val="15"/>
    <w:link w:val="34"/>
    <w:qFormat/>
    <w:uiPriority w:val="29"/>
    <w:rPr>
      <w:i/>
      <w:iCs/>
      <w:color w:val="000000" w:themeColor="text1"/>
    </w:rPr>
  </w:style>
  <w:style w:type="paragraph" w:styleId="36">
    <w:name w:val="Intense Quote"/>
    <w:basedOn w:val="1"/>
    <w:next w:val="1"/>
    <w:link w:val="37"/>
    <w:qFormat/>
    <w:uiPriority w:val="30"/>
    <w:pPr>
      <w:pBdr>
        <w:bottom w:val="single" w:color="5B9BD5" w:themeColor="accent1" w:sz="4" w:space="4"/>
      </w:pBdr>
      <w:spacing w:before="200" w:after="280"/>
      <w:ind w:left="936" w:right="936"/>
    </w:pPr>
    <w:rPr>
      <w:b/>
      <w:bCs/>
      <w:i/>
      <w:iCs/>
      <w:color w:val="5B9BD5" w:themeColor="accent1"/>
    </w:rPr>
  </w:style>
  <w:style w:type="character" w:customStyle="1" w:styleId="37">
    <w:name w:val="Intense Quote Char"/>
    <w:basedOn w:val="15"/>
    <w:link w:val="36"/>
    <w:qFormat/>
    <w:uiPriority w:val="30"/>
    <w:rPr>
      <w:b/>
      <w:bCs/>
      <w:i/>
      <w:iCs/>
      <w:color w:val="5B9BD5" w:themeColor="accent1"/>
    </w:rPr>
  </w:style>
  <w:style w:type="character" w:customStyle="1" w:styleId="38">
    <w:name w:val="Subtle Emphasis"/>
    <w:basedOn w:val="15"/>
    <w:qFormat/>
    <w:uiPriority w:val="19"/>
    <w:rPr>
      <w:i/>
      <w:iCs/>
      <w:color w:val="7F7F7F" w:themeColor="text1" w:themeTint="7F"/>
    </w:rPr>
  </w:style>
  <w:style w:type="character" w:customStyle="1" w:styleId="39">
    <w:name w:val="Intense Emphasis"/>
    <w:basedOn w:val="15"/>
    <w:qFormat/>
    <w:uiPriority w:val="21"/>
    <w:rPr>
      <w:b/>
      <w:bCs/>
      <w:i/>
      <w:iCs/>
      <w:color w:val="5B9BD5" w:themeColor="accent1"/>
    </w:rPr>
  </w:style>
  <w:style w:type="character" w:customStyle="1" w:styleId="40">
    <w:name w:val="Subtle Reference"/>
    <w:basedOn w:val="15"/>
    <w:qFormat/>
    <w:uiPriority w:val="31"/>
    <w:rPr>
      <w:smallCaps/>
      <w:color w:val="ED7D31" w:themeColor="accent2"/>
      <w:u w:val="single"/>
    </w:rPr>
  </w:style>
  <w:style w:type="character" w:customStyle="1" w:styleId="41">
    <w:name w:val="Intense Reference"/>
    <w:basedOn w:val="15"/>
    <w:qFormat/>
    <w:uiPriority w:val="32"/>
    <w:rPr>
      <w:b/>
      <w:bCs/>
      <w:smallCaps/>
      <w:color w:val="ED7D31" w:themeColor="accent2"/>
      <w:spacing w:val="5"/>
      <w:u w:val="single"/>
    </w:rPr>
  </w:style>
  <w:style w:type="character" w:customStyle="1" w:styleId="42">
    <w:name w:val="Book Title"/>
    <w:basedOn w:val="15"/>
    <w:qFormat/>
    <w:uiPriority w:val="33"/>
    <w:rPr>
      <w:b/>
      <w:bCs/>
      <w:smallCaps/>
      <w:spacing w:val="5"/>
    </w:rPr>
  </w:style>
  <w:style w:type="paragraph" w:customStyle="1" w:styleId="43">
    <w:name w:val="TOC Heading"/>
    <w:basedOn w:val="2"/>
    <w:next w:val="1"/>
    <w:semiHidden/>
    <w:unhideWhenUsed/>
    <w:qFormat/>
    <w:uiPriority w:val="39"/>
    <w:pPr>
      <w:outlineLvl w:val="9"/>
    </w:pPr>
  </w:style>
  <w:style w:type="character" w:customStyle="1" w:styleId="44">
    <w:name w:val="Balloon Text Char"/>
    <w:basedOn w:val="15"/>
    <w:link w:val="11"/>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image" Target="media/image1.png"/><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IN"/>
              <a:t>Part-A</a:t>
            </a:r>
            <a:endParaRPr lang="en-IN"/>
          </a:p>
        </c:rich>
      </c:tx>
      <c:layout/>
      <c:overlay val="0"/>
    </c:title>
    <c:autoTitleDeleted val="0"/>
    <c:plotArea>
      <c:layout/>
      <c:barChart>
        <c:barDir val="col"/>
        <c:grouping val="clustered"/>
        <c:varyColors val="0"/>
        <c:ser>
          <c:idx val="0"/>
          <c:order val="0"/>
          <c:tx>
            <c:strRef>
              <c:f>Data!$B$46</c:f>
              <c:strCache>
                <c:ptCount val="1"/>
                <c:pt idx="0">
                  <c:v>Year 1</c:v>
                </c:pt>
              </c:strCache>
            </c:strRef>
          </c:tx>
          <c:invertIfNegative val="0"/>
          <c:dLbls>
            <c:delete val="1"/>
          </c:dLbls>
          <c:cat>
            <c:strRef>
              <c:f>Data!$A$47:$A$50</c:f>
              <c:strCache>
                <c:ptCount val="4"/>
                <c:pt idx="0">
                  <c:v>Company</c:v>
                </c:pt>
                <c:pt idx="1">
                  <c:v>FA1</c:v>
                </c:pt>
                <c:pt idx="2">
                  <c:v>FA2</c:v>
                </c:pt>
                <c:pt idx="3">
                  <c:v>FA3</c:v>
                </c:pt>
              </c:strCache>
            </c:strRef>
          </c:cat>
          <c:val>
            <c:numRef>
              <c:f>Data!$B$47:$B$50</c:f>
              <c:numCache>
                <c:formatCode>General</c:formatCode>
                <c:ptCount val="4"/>
                <c:pt idx="0">
                  <c:v>2100</c:v>
                </c:pt>
                <c:pt idx="1">
                  <c:v>900</c:v>
                </c:pt>
                <c:pt idx="2">
                  <c:v>750</c:v>
                </c:pt>
                <c:pt idx="3">
                  <c:v>450</c:v>
                </c:pt>
              </c:numCache>
            </c:numRef>
          </c:val>
        </c:ser>
        <c:ser>
          <c:idx val="1"/>
          <c:order val="1"/>
          <c:tx>
            <c:strRef>
              <c:f>Data!$C$46</c:f>
              <c:strCache>
                <c:ptCount val="1"/>
                <c:pt idx="0">
                  <c:v>Year 2</c:v>
                </c:pt>
              </c:strCache>
            </c:strRef>
          </c:tx>
          <c:invertIfNegative val="0"/>
          <c:dLbls>
            <c:delete val="1"/>
          </c:dLbls>
          <c:cat>
            <c:strRef>
              <c:f>Data!$A$47:$A$50</c:f>
              <c:strCache>
                <c:ptCount val="4"/>
                <c:pt idx="0">
                  <c:v>Company</c:v>
                </c:pt>
                <c:pt idx="1">
                  <c:v>FA1</c:v>
                </c:pt>
                <c:pt idx="2">
                  <c:v>FA2</c:v>
                </c:pt>
                <c:pt idx="3">
                  <c:v>FA3</c:v>
                </c:pt>
              </c:strCache>
            </c:strRef>
          </c:cat>
          <c:val>
            <c:numRef>
              <c:f>Data!$C$47:$C$50</c:f>
              <c:numCache>
                <c:formatCode>General</c:formatCode>
                <c:ptCount val="4"/>
                <c:pt idx="0">
                  <c:v>2000</c:v>
                </c:pt>
                <c:pt idx="1">
                  <c:v>800</c:v>
                </c:pt>
                <c:pt idx="2">
                  <c:v>750</c:v>
                </c:pt>
                <c:pt idx="3">
                  <c:v>450</c:v>
                </c:pt>
              </c:numCache>
            </c:numRef>
          </c:val>
        </c:ser>
        <c:ser>
          <c:idx val="2"/>
          <c:order val="2"/>
          <c:tx>
            <c:strRef>
              <c:f>Data!$D$46</c:f>
              <c:strCache>
                <c:ptCount val="1"/>
                <c:pt idx="0">
                  <c:v>Year 3</c:v>
                </c:pt>
              </c:strCache>
            </c:strRef>
          </c:tx>
          <c:invertIfNegative val="0"/>
          <c:dLbls>
            <c:delete val="1"/>
          </c:dLbls>
          <c:cat>
            <c:strRef>
              <c:f>Data!$A$47:$A$50</c:f>
              <c:strCache>
                <c:ptCount val="4"/>
                <c:pt idx="0">
                  <c:v>Company</c:v>
                </c:pt>
                <c:pt idx="1">
                  <c:v>FA1</c:v>
                </c:pt>
                <c:pt idx="2">
                  <c:v>FA2</c:v>
                </c:pt>
                <c:pt idx="3">
                  <c:v>FA3</c:v>
                </c:pt>
              </c:strCache>
            </c:strRef>
          </c:cat>
          <c:val>
            <c:numRef>
              <c:f>Data!$D$47:$D$50</c:f>
              <c:numCache>
                <c:formatCode>General</c:formatCode>
                <c:ptCount val="4"/>
                <c:pt idx="0">
                  <c:v>1750</c:v>
                </c:pt>
                <c:pt idx="1">
                  <c:v>900</c:v>
                </c:pt>
                <c:pt idx="2">
                  <c:v>300</c:v>
                </c:pt>
                <c:pt idx="3">
                  <c:v>550</c:v>
                </c:pt>
              </c:numCache>
            </c:numRef>
          </c:val>
        </c:ser>
        <c:dLbls>
          <c:showLegendKey val="0"/>
          <c:showVal val="0"/>
          <c:showCatName val="0"/>
          <c:showSerName val="0"/>
          <c:showPercent val="0"/>
          <c:showBubbleSize val="0"/>
        </c:dLbls>
        <c:gapWidth val="150"/>
        <c:axId val="192617472"/>
        <c:axId val="192619264"/>
      </c:barChart>
      <c:catAx>
        <c:axId val="192617472"/>
        <c:scaling>
          <c:orientation val="minMax"/>
        </c:scaling>
        <c:delete val="0"/>
        <c:axPos val="b"/>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92619264"/>
        <c:crosses val="autoZero"/>
        <c:auto val="1"/>
        <c:lblAlgn val="ctr"/>
        <c:lblOffset val="100"/>
        <c:noMultiLvlLbl val="0"/>
      </c:catAx>
      <c:valAx>
        <c:axId val="192619264"/>
        <c:scaling>
          <c:orientation val="minMax"/>
        </c:scaling>
        <c:delete val="0"/>
        <c:axPos val="l"/>
        <c:majorGridlines/>
        <c:title>
          <c:tx>
            <c:rich>
              <a:bodyPr rot="-54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IN"/>
                  <a:t>CAPEX</a:t>
                </a:r>
                <a:endParaRPr lang="en-IN"/>
              </a:p>
            </c:rich>
          </c:tx>
          <c:layout/>
          <c:overlay val="0"/>
        </c:title>
        <c:numFmt formatCode="General" sourceLinked="1"/>
        <c:majorTickMark val="none"/>
        <c:minorTickMark val="none"/>
        <c:tickLblPos val="none"/>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92617472"/>
        <c:crosses val="autoZero"/>
        <c:crossBetween val="between"/>
      </c:valAx>
      <c:dTable>
        <c:showHorzBorder val="1"/>
        <c:showVertBorder val="1"/>
        <c:showOutline val="1"/>
        <c:showKeys val="1"/>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dTable>
    </c:plotArea>
    <c:plotVisOnly val="1"/>
    <c:dispBlanksAs val="gap"/>
    <c:showDLblsOverMax val="0"/>
  </c:chart>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a:t>Part-C</a:t>
            </a:r>
            <a:endParaRPr lang="en-US"/>
          </a:p>
        </c:rich>
      </c:tx>
      <c:layout/>
      <c:overlay val="0"/>
    </c:title>
    <c:autoTitleDeleted val="0"/>
    <c:plotArea>
      <c:layout/>
      <c:barChart>
        <c:barDir val="col"/>
        <c:grouping val="clustered"/>
        <c:varyColors val="0"/>
        <c:ser>
          <c:idx val="0"/>
          <c:order val="0"/>
          <c:tx>
            <c:strRef>
              <c:f>'Par-B'!$B$46</c:f>
              <c:strCache>
                <c:ptCount val="1"/>
                <c:pt idx="0">
                  <c:v>Year 1</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'Par-B'!$A$47:$A$50</c:f>
              <c:strCache>
                <c:ptCount val="4"/>
                <c:pt idx="0">
                  <c:v>Company</c:v>
                </c:pt>
                <c:pt idx="1">
                  <c:v>FA1</c:v>
                </c:pt>
                <c:pt idx="2">
                  <c:v>FA2</c:v>
                </c:pt>
                <c:pt idx="3">
                  <c:v>FA3</c:v>
                </c:pt>
              </c:strCache>
            </c:strRef>
          </c:cat>
          <c:val>
            <c:numRef>
              <c:f>'Par-B'!$B$47:$B$50</c:f>
              <c:numCache>
                <c:formatCode>General</c:formatCode>
                <c:ptCount val="4"/>
                <c:pt idx="0">
                  <c:v>2038.5</c:v>
                </c:pt>
                <c:pt idx="1">
                  <c:v>958.5</c:v>
                </c:pt>
                <c:pt idx="2">
                  <c:v>675</c:v>
                </c:pt>
                <c:pt idx="3">
                  <c:v>405</c:v>
                </c:pt>
              </c:numCache>
            </c:numRef>
          </c:val>
        </c:ser>
        <c:ser>
          <c:idx val="1"/>
          <c:order val="1"/>
          <c:tx>
            <c:strRef>
              <c:f>'Par-B'!$C$46</c:f>
              <c:strCache>
                <c:ptCount val="1"/>
                <c:pt idx="0">
                  <c:v>Year 2</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'Par-B'!$A$47:$A$50</c:f>
              <c:strCache>
                <c:ptCount val="4"/>
                <c:pt idx="0">
                  <c:v>Company</c:v>
                </c:pt>
                <c:pt idx="1">
                  <c:v>FA1</c:v>
                </c:pt>
                <c:pt idx="2">
                  <c:v>FA2</c:v>
                </c:pt>
                <c:pt idx="3">
                  <c:v>FA3</c:v>
                </c:pt>
              </c:strCache>
            </c:strRef>
          </c:cat>
          <c:val>
            <c:numRef>
              <c:f>'Par-B'!$C$47:$C$50</c:f>
              <c:numCache>
                <c:formatCode>General</c:formatCode>
                <c:ptCount val="4"/>
                <c:pt idx="0">
                  <c:v>1889.1</c:v>
                </c:pt>
                <c:pt idx="1">
                  <c:v>899</c:v>
                </c:pt>
                <c:pt idx="2">
                  <c:v>675</c:v>
                </c:pt>
                <c:pt idx="3">
                  <c:v>405</c:v>
                </c:pt>
              </c:numCache>
            </c:numRef>
          </c:val>
        </c:ser>
        <c:ser>
          <c:idx val="2"/>
          <c:order val="2"/>
          <c:tx>
            <c:strRef>
              <c:f>'Par-B'!$D$46</c:f>
              <c:strCache>
                <c:ptCount val="1"/>
                <c:pt idx="0">
                  <c:v>Year 3</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'Par-B'!$A$47:$A$50</c:f>
              <c:strCache>
                <c:ptCount val="4"/>
                <c:pt idx="0">
                  <c:v>Company</c:v>
                </c:pt>
                <c:pt idx="1">
                  <c:v>FA1</c:v>
                </c:pt>
                <c:pt idx="2">
                  <c:v>FA2</c:v>
                </c:pt>
                <c:pt idx="3">
                  <c:v>FA3</c:v>
                </c:pt>
              </c:strCache>
            </c:strRef>
          </c:cat>
          <c:val>
            <c:numRef>
              <c:f>'Par-B'!$D$47:$D$50</c:f>
              <c:numCache>
                <c:formatCode>General</c:formatCode>
                <c:ptCount val="4"/>
                <c:pt idx="0">
                  <c:v>1664.1</c:v>
                </c:pt>
                <c:pt idx="1">
                  <c:v>999</c:v>
                </c:pt>
                <c:pt idx="2">
                  <c:v>270</c:v>
                </c:pt>
                <c:pt idx="3">
                  <c:v>495</c:v>
                </c:pt>
              </c:numCache>
            </c:numRef>
          </c:val>
        </c:ser>
        <c:dLbls>
          <c:showLegendKey val="0"/>
          <c:showVal val="1"/>
          <c:showCatName val="0"/>
          <c:showSerName val="0"/>
          <c:showPercent val="0"/>
          <c:showBubbleSize val="0"/>
        </c:dLbls>
        <c:gapWidth val="150"/>
        <c:overlap val="-25"/>
        <c:axId val="204108544"/>
        <c:axId val="204110080"/>
      </c:barChart>
      <c:catAx>
        <c:axId val="204108544"/>
        <c:scaling>
          <c:orientation val="minMax"/>
        </c:scaling>
        <c:delete val="0"/>
        <c:axPos val="b"/>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204110080"/>
        <c:crosses val="autoZero"/>
        <c:auto val="1"/>
        <c:lblAlgn val="ctr"/>
        <c:lblOffset val="100"/>
        <c:noMultiLvlLbl val="0"/>
      </c:catAx>
      <c:valAx>
        <c:axId val="204110080"/>
        <c:scaling>
          <c:orientation val="minMax"/>
        </c:scaling>
        <c:delete val="1"/>
        <c:axPos val="l"/>
        <c:numFmt formatCode="General" sourceLinked="1"/>
        <c:majorTickMark val="out"/>
        <c:minorTickMark val="none"/>
        <c:tickLblPos val="none"/>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204108544"/>
        <c:crosses val="autoZero"/>
        <c:crossBetween val="between"/>
      </c:valAx>
    </c:plotArea>
    <c:legend>
      <c:legendPos val="t"/>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800</Words>
  <Characters>4561</Characters>
  <Lines>38</Lines>
  <Paragraphs>10</Paragraphs>
  <TotalTime>60</TotalTime>
  <ScaleCrop>false</ScaleCrop>
  <LinksUpToDate>false</LinksUpToDate>
  <CharactersWithSpaces>5351</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2018-05-29T08:31:00Z</dcterms:created>
  <dc:creator>User</dc:creator>
  <cp:lastModifiedBy>ankita</cp:lastModifiedBy>
  <dcterms:modified xsi:type="dcterms:W3CDTF">2019-02-27T13:11:57Z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