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contextualSpacing w:val="0"/>
        <w:jc w:val="center"/>
        <w:rPr>
          <w:rFonts w:ascii="Times New Roman" w:hAnsi="Times New Roman" w:eastAsia="Times New Roman" w:cs="Times New Roman"/>
          <w:b/>
          <w:sz w:val="32"/>
          <w:szCs w:val="24"/>
        </w:rPr>
      </w:pPr>
    </w:p>
    <w:p>
      <w:pPr>
        <w:spacing w:line="360" w:lineRule="auto"/>
        <w:contextualSpacing w:val="0"/>
        <w:jc w:val="center"/>
        <w:rPr>
          <w:rFonts w:ascii="Times New Roman" w:hAnsi="Times New Roman" w:eastAsia="Times New Roman" w:cs="Times New Roman"/>
          <w:b/>
          <w:sz w:val="32"/>
          <w:szCs w:val="24"/>
        </w:rPr>
      </w:pPr>
    </w:p>
    <w:p>
      <w:pPr>
        <w:spacing w:line="360" w:lineRule="auto"/>
        <w:contextualSpacing w:val="0"/>
        <w:jc w:val="center"/>
        <w:rPr>
          <w:rFonts w:ascii="Times New Roman" w:hAnsi="Times New Roman" w:eastAsia="Times New Roman" w:cs="Times New Roman"/>
          <w:b/>
          <w:sz w:val="32"/>
          <w:szCs w:val="24"/>
        </w:rPr>
      </w:pPr>
    </w:p>
    <w:p>
      <w:pPr>
        <w:spacing w:line="360" w:lineRule="auto"/>
        <w:contextualSpacing w:val="0"/>
        <w:jc w:val="center"/>
        <w:rPr>
          <w:rFonts w:ascii="Times New Roman" w:hAnsi="Times New Roman" w:eastAsia="Times New Roman" w:cs="Times New Roman"/>
          <w:b/>
          <w:sz w:val="32"/>
          <w:szCs w:val="24"/>
        </w:rPr>
      </w:pPr>
    </w:p>
    <w:p>
      <w:pPr>
        <w:spacing w:line="360" w:lineRule="auto"/>
        <w:contextualSpacing w:val="0"/>
        <w:jc w:val="center"/>
        <w:rPr>
          <w:rFonts w:ascii="Times New Roman" w:hAnsi="Times New Roman" w:eastAsia="Times New Roman" w:cs="Times New Roman"/>
          <w:b/>
          <w:sz w:val="32"/>
          <w:szCs w:val="24"/>
        </w:rPr>
      </w:pPr>
    </w:p>
    <w:p>
      <w:pPr>
        <w:spacing w:line="360" w:lineRule="auto"/>
        <w:contextualSpacing w:val="0"/>
        <w:jc w:val="center"/>
        <w:rPr>
          <w:rFonts w:ascii="Times New Roman" w:hAnsi="Times New Roman" w:eastAsia="Times New Roman" w:cs="Times New Roman"/>
          <w:b/>
          <w:sz w:val="32"/>
          <w:szCs w:val="24"/>
        </w:rPr>
      </w:pPr>
    </w:p>
    <w:p>
      <w:pPr>
        <w:spacing w:line="360" w:lineRule="auto"/>
        <w:contextualSpacing w:val="0"/>
        <w:jc w:val="center"/>
        <w:rPr>
          <w:rFonts w:ascii="Times New Roman" w:hAnsi="Times New Roman" w:eastAsia="Times New Roman" w:cs="Times New Roman"/>
          <w:b/>
          <w:sz w:val="32"/>
          <w:szCs w:val="24"/>
        </w:rPr>
      </w:pPr>
    </w:p>
    <w:p>
      <w:pPr>
        <w:spacing w:line="360" w:lineRule="auto"/>
        <w:contextualSpacing w:val="0"/>
        <w:jc w:val="center"/>
        <w:rPr>
          <w:rFonts w:ascii="Times New Roman" w:hAnsi="Times New Roman" w:eastAsia="Times New Roman" w:cs="Times New Roman"/>
          <w:b/>
          <w:sz w:val="32"/>
          <w:szCs w:val="24"/>
        </w:rPr>
      </w:pPr>
    </w:p>
    <w:p>
      <w:pPr>
        <w:spacing w:line="360" w:lineRule="auto"/>
        <w:contextualSpacing w:val="0"/>
        <w:jc w:val="center"/>
        <w:rPr>
          <w:rFonts w:ascii="Times New Roman" w:hAnsi="Times New Roman" w:eastAsia="Times New Roman" w:cs="Times New Roman"/>
          <w:b/>
          <w:sz w:val="32"/>
          <w:szCs w:val="24"/>
        </w:rPr>
      </w:pPr>
      <w:r>
        <w:rPr>
          <w:rFonts w:ascii="Times New Roman" w:hAnsi="Times New Roman" w:eastAsia="Times New Roman" w:cs="Times New Roman"/>
          <w:b/>
          <w:sz w:val="32"/>
          <w:szCs w:val="24"/>
        </w:rPr>
        <w:t>BUSINESS LAW</w:t>
      </w:r>
    </w:p>
    <w:p>
      <w:pPr>
        <w:spacing w:line="360" w:lineRule="auto"/>
        <w:rPr>
          <w:rFonts w:ascii="Times New Roman" w:hAnsi="Times New Roman" w:eastAsia="Times New Roman" w:cs="Times New Roman"/>
          <w:b/>
          <w:sz w:val="32"/>
          <w:szCs w:val="24"/>
        </w:rPr>
      </w:pPr>
      <w:r>
        <w:rPr>
          <w:rFonts w:ascii="Times New Roman" w:hAnsi="Times New Roman" w:eastAsia="Times New Roman" w:cs="Times New Roman"/>
          <w:b/>
          <w:sz w:val="32"/>
          <w:szCs w:val="24"/>
        </w:rPr>
        <w:br w:type="page"/>
      </w:r>
    </w:p>
    <w:p>
      <w:pPr>
        <w:spacing w:line="360" w:lineRule="auto"/>
        <w:contextualSpacing w:val="0"/>
        <w:jc w:val="center"/>
        <w:rPr>
          <w:rFonts w:ascii="Times New Roman" w:hAnsi="Times New Roman" w:eastAsia="Times New Roman" w:cs="Times New Roman"/>
          <w:b/>
          <w:sz w:val="28"/>
          <w:szCs w:val="24"/>
        </w:rPr>
      </w:pPr>
      <w:r>
        <w:rPr>
          <w:rFonts w:ascii="Times New Roman" w:hAnsi="Times New Roman" w:eastAsia="Times New Roman" w:cs="Times New Roman"/>
          <w:b/>
          <w:sz w:val="28"/>
          <w:szCs w:val="24"/>
        </w:rPr>
        <w:t>Table of Contents</w:t>
      </w:r>
    </w:p>
    <w:sdt>
      <w:sdtPr>
        <w:rPr>
          <w:rFonts w:ascii="Times New Roman" w:hAnsi="Times New Roman" w:eastAsia="Arial" w:cs="Times New Roman"/>
          <w:b w:val="0"/>
          <w:bCs w:val="0"/>
          <w:color w:val="auto"/>
          <w:sz w:val="22"/>
          <w:szCs w:val="22"/>
          <w:lang w:val="en-GB"/>
        </w:rPr>
        <w:id w:val="15780531"/>
        <w:docPartObj>
          <w:docPartGallery w:val="Table of Contents"/>
          <w:docPartUnique/>
        </w:docPartObj>
      </w:sdtPr>
      <w:sdtEndPr>
        <w:rPr>
          <w:rFonts w:ascii="Times New Roman" w:hAnsi="Times New Roman" w:eastAsia="Arial" w:cs="Times New Roman"/>
          <w:b w:val="0"/>
          <w:bCs w:val="0"/>
          <w:color w:val="auto"/>
          <w:sz w:val="24"/>
          <w:szCs w:val="24"/>
          <w:lang w:val="en-GB"/>
        </w:rPr>
      </w:sdtEndPr>
      <w:sdtContent>
        <w:p>
          <w:pPr>
            <w:pStyle w:val="24"/>
            <w:spacing w:line="360" w:lineRule="auto"/>
            <w:rPr>
              <w:rFonts w:ascii="Times New Roman" w:hAnsi="Times New Roman" w:cs="Times New Roman"/>
              <w:color w:val="auto"/>
            </w:rPr>
          </w:pPr>
        </w:p>
        <w:p>
          <w:pPr>
            <w:pStyle w:val="15"/>
            <w:tabs>
              <w:tab w:val="right" w:leader="dot" w:pos="9350"/>
            </w:tabs>
            <w:spacing w:line="360" w:lineRule="auto"/>
            <w:jc w:val="both"/>
            <w:rPr>
              <w:rFonts w:ascii="Times New Roman" w:hAnsi="Times New Roman" w:cs="Times New Roman" w:eastAsiaTheme="minorEastAsia"/>
              <w:sz w:val="24"/>
              <w:szCs w:val="24"/>
              <w:lang w:val="en-US"/>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r>
            <w:fldChar w:fldCharType="begin"/>
          </w:r>
          <w:r>
            <w:instrText xml:space="preserve"> HYPERLINK \l "_Toc526858215" </w:instrText>
          </w:r>
          <w:r>
            <w:fldChar w:fldCharType="separate"/>
          </w:r>
          <w:r>
            <w:rPr>
              <w:rStyle w:val="19"/>
              <w:rFonts w:ascii="Times New Roman" w:hAnsi="Times New Roman" w:cs="Times New Roman"/>
              <w:color w:val="auto"/>
              <w:sz w:val="24"/>
              <w:szCs w:val="24"/>
              <w:lang w:val="en-AU"/>
            </w:rPr>
            <w:t>1.0 Introduction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_Toc526858215 \h </w:instrText>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5"/>
            <w:tabs>
              <w:tab w:val="right" w:leader="dot" w:pos="9350"/>
            </w:tabs>
            <w:spacing w:line="360" w:lineRule="auto"/>
            <w:jc w:val="both"/>
            <w:rPr>
              <w:rFonts w:ascii="Times New Roman" w:hAnsi="Times New Roman" w:cs="Times New Roman" w:eastAsiaTheme="minorEastAsia"/>
              <w:sz w:val="24"/>
              <w:szCs w:val="24"/>
              <w:lang w:val="en-US"/>
            </w:rPr>
          </w:pPr>
          <w:r>
            <w:fldChar w:fldCharType="begin"/>
          </w:r>
          <w:r>
            <w:instrText xml:space="preserve"> HYPERLINK \l "_Toc526858216" </w:instrText>
          </w:r>
          <w:r>
            <w:fldChar w:fldCharType="separate"/>
          </w:r>
          <w:r>
            <w:rPr>
              <w:rStyle w:val="19"/>
              <w:rFonts w:ascii="Times New Roman" w:hAnsi="Times New Roman" w:cs="Times New Roman"/>
              <w:color w:val="auto"/>
              <w:sz w:val="24"/>
              <w:szCs w:val="24"/>
              <w:lang w:val="en-AU"/>
            </w:rPr>
            <w:t>2.0 Legal Issue</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_Toc526858216 \h </w:instrText>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5"/>
            <w:tabs>
              <w:tab w:val="right" w:leader="dot" w:pos="9350"/>
            </w:tabs>
            <w:spacing w:line="360" w:lineRule="auto"/>
            <w:jc w:val="both"/>
            <w:rPr>
              <w:rFonts w:ascii="Times New Roman" w:hAnsi="Times New Roman" w:cs="Times New Roman" w:eastAsiaTheme="minorEastAsia"/>
              <w:sz w:val="24"/>
              <w:szCs w:val="24"/>
              <w:lang w:val="en-US"/>
            </w:rPr>
          </w:pPr>
          <w:r>
            <w:fldChar w:fldCharType="begin"/>
          </w:r>
          <w:r>
            <w:instrText xml:space="preserve"> HYPERLINK \l "_Toc526858217" </w:instrText>
          </w:r>
          <w:r>
            <w:fldChar w:fldCharType="separate"/>
          </w:r>
          <w:r>
            <w:rPr>
              <w:rStyle w:val="19"/>
              <w:rFonts w:ascii="Times New Roman" w:hAnsi="Times New Roman" w:cs="Times New Roman"/>
              <w:color w:val="auto"/>
              <w:sz w:val="24"/>
              <w:szCs w:val="24"/>
              <w:lang w:val="en-AU"/>
            </w:rPr>
            <w:t>3.0 Identification of relevant law</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_Toc526858217 \h </w:instrText>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5"/>
            <w:tabs>
              <w:tab w:val="right" w:leader="dot" w:pos="9350"/>
            </w:tabs>
            <w:spacing w:line="360" w:lineRule="auto"/>
            <w:jc w:val="both"/>
            <w:rPr>
              <w:rFonts w:ascii="Times New Roman" w:hAnsi="Times New Roman" w:cs="Times New Roman" w:eastAsiaTheme="minorEastAsia"/>
              <w:sz w:val="24"/>
              <w:szCs w:val="24"/>
              <w:lang w:val="en-US"/>
            </w:rPr>
          </w:pPr>
          <w:r>
            <w:fldChar w:fldCharType="begin"/>
          </w:r>
          <w:r>
            <w:instrText xml:space="preserve"> HYPERLINK \l "_Toc526858218" </w:instrText>
          </w:r>
          <w:r>
            <w:fldChar w:fldCharType="separate"/>
          </w:r>
          <w:r>
            <w:rPr>
              <w:rStyle w:val="19"/>
              <w:rFonts w:ascii="Times New Roman" w:hAnsi="Times New Roman" w:cs="Times New Roman"/>
              <w:color w:val="auto"/>
              <w:sz w:val="24"/>
              <w:szCs w:val="24"/>
              <w:lang w:val="en-AU"/>
            </w:rPr>
            <w:t>4.0 Justification of Criticism</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_Toc526858218 \h </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5"/>
            <w:tabs>
              <w:tab w:val="right" w:leader="dot" w:pos="9350"/>
            </w:tabs>
            <w:spacing w:line="360" w:lineRule="auto"/>
            <w:jc w:val="both"/>
            <w:rPr>
              <w:rFonts w:ascii="Times New Roman" w:hAnsi="Times New Roman" w:cs="Times New Roman" w:eastAsiaTheme="minorEastAsia"/>
              <w:sz w:val="24"/>
              <w:szCs w:val="24"/>
              <w:lang w:val="en-US"/>
            </w:rPr>
          </w:pPr>
          <w:r>
            <w:fldChar w:fldCharType="begin"/>
          </w:r>
          <w:r>
            <w:instrText xml:space="preserve"> HYPERLINK \l "_Toc526858219" </w:instrText>
          </w:r>
          <w:r>
            <w:fldChar w:fldCharType="separate"/>
          </w:r>
          <w:r>
            <w:rPr>
              <w:rStyle w:val="19"/>
              <w:rFonts w:ascii="Times New Roman" w:hAnsi="Times New Roman" w:cs="Times New Roman"/>
              <w:color w:val="auto"/>
              <w:sz w:val="24"/>
              <w:szCs w:val="24"/>
              <w:lang w:val="en-AU"/>
            </w:rPr>
            <w:t>5.0 Conclusion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_Toc526858219 \h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5"/>
            <w:tabs>
              <w:tab w:val="right" w:leader="dot" w:pos="9350"/>
            </w:tabs>
            <w:spacing w:line="360" w:lineRule="auto"/>
            <w:jc w:val="both"/>
            <w:rPr>
              <w:rFonts w:ascii="Times New Roman" w:hAnsi="Times New Roman" w:cs="Times New Roman" w:eastAsiaTheme="minorEastAsia"/>
              <w:sz w:val="24"/>
              <w:szCs w:val="24"/>
              <w:lang w:val="en-US"/>
            </w:rPr>
          </w:pPr>
          <w:r>
            <w:fldChar w:fldCharType="begin"/>
          </w:r>
          <w:r>
            <w:instrText xml:space="preserve"> HYPERLINK \l "_Toc526858220" </w:instrText>
          </w:r>
          <w:r>
            <w:fldChar w:fldCharType="separate"/>
          </w:r>
          <w:r>
            <w:rPr>
              <w:rStyle w:val="19"/>
              <w:rFonts w:ascii="Times New Roman" w:hAnsi="Times New Roman" w:cs="Times New Roman"/>
              <w:color w:val="auto"/>
              <w:sz w:val="24"/>
              <w:szCs w:val="24"/>
              <w:lang w:val="en-AU"/>
            </w:rPr>
            <w:t>Reference List</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_Toc526858220 \h </w:instrText>
          </w:r>
          <w:r>
            <w:rPr>
              <w:rFonts w:ascii="Times New Roman" w:hAnsi="Times New Roman" w:cs="Times New Roman"/>
              <w:sz w:val="24"/>
              <w:szCs w:val="24"/>
            </w:rPr>
            <w:fldChar w:fldCharType="separate"/>
          </w:r>
          <w:r>
            <w:rPr>
              <w:rFonts w:ascii="Times New Roman" w:hAnsi="Times New Roman" w:cs="Times New Roman"/>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end"/>
          </w:r>
        </w:p>
      </w:sdtContent>
    </w:sdt>
    <w:p>
      <w:pPr>
        <w:spacing w:line="360" w:lineRule="auto"/>
        <w:rPr>
          <w:rFonts w:ascii="Times New Roman" w:hAnsi="Times New Roman" w:eastAsia="Times New Roman" w:cs="Times New Roman"/>
          <w:b/>
          <w:sz w:val="32"/>
          <w:szCs w:val="24"/>
        </w:rPr>
      </w:pPr>
      <w:r>
        <w:rPr>
          <w:rFonts w:ascii="Times New Roman" w:hAnsi="Times New Roman" w:eastAsia="Times New Roman" w:cs="Times New Roman"/>
          <w:b/>
          <w:sz w:val="32"/>
          <w:szCs w:val="24"/>
        </w:rPr>
        <w:br w:type="page"/>
      </w:r>
    </w:p>
    <w:p>
      <w:pPr>
        <w:pStyle w:val="2"/>
        <w:spacing w:line="360" w:lineRule="auto"/>
        <w:rPr>
          <w:rFonts w:cs="Times New Roman"/>
        </w:rPr>
      </w:pPr>
      <w:bookmarkStart w:id="0" w:name="_Toc526858215"/>
      <w:r>
        <w:rPr>
          <w:rFonts w:cs="Times New Roman"/>
          <w:lang w:val="en-AU"/>
        </w:rPr>
        <w:t>1.0 Introduction</w:t>
      </w:r>
      <w:bookmarkEnd w:id="0"/>
    </w:p>
    <w:p>
      <w:pPr>
        <w:spacing w:line="360" w:lineRule="auto"/>
        <w:contextualSpacing w:val="0"/>
        <w:jc w:val="both"/>
        <w:rPr>
          <w:rFonts w:ascii="Times New Roman" w:hAnsi="Times New Roman" w:eastAsia="Times New Roman" w:cs="Times New Roman"/>
          <w:sz w:val="24"/>
          <w:szCs w:val="24"/>
          <w:lang w:val="en-AU"/>
        </w:rPr>
      </w:pPr>
      <w:r>
        <w:rPr>
          <w:rFonts w:ascii="Times New Roman" w:hAnsi="Times New Roman" w:eastAsia="Times New Roman" w:cs="Times New Roman"/>
          <w:sz w:val="24"/>
          <w:szCs w:val="24"/>
          <w:lang w:val="en-AU"/>
        </w:rPr>
        <w:t xml:space="preserve">The study will critically analyse the recent statement of the Australian Competition and Consumer Commission (ACCC) regarding the limitation of extended warranties over any products purchase from Australia. The present assignment will justify the criticism against the claim of ACCC. Moreover, it will identify the relevant law and previous case that has been instituted in the Australian Legal system.   </w:t>
      </w:r>
    </w:p>
    <w:p>
      <w:pPr>
        <w:pStyle w:val="2"/>
        <w:spacing w:line="360" w:lineRule="auto"/>
        <w:rPr>
          <w:rFonts w:cs="Times New Roman"/>
          <w:lang w:val="en-AU"/>
        </w:rPr>
      </w:pPr>
      <w:bookmarkStart w:id="1" w:name="_Toc526858216"/>
      <w:r>
        <w:rPr>
          <w:rFonts w:cs="Times New Roman"/>
          <w:lang w:val="en-AU"/>
        </w:rPr>
        <w:t>2.0 Legal Issue</w:t>
      </w:r>
      <w:bookmarkEnd w:id="1"/>
      <w:r>
        <w:rPr>
          <w:rFonts w:cs="Times New Roman"/>
          <w:lang w:val="en-AU"/>
        </w:rPr>
        <w:t xml:space="preserve"> </w:t>
      </w:r>
    </w:p>
    <w:p>
      <w:pPr>
        <w:spacing w:line="360" w:lineRule="auto"/>
        <w:contextualSpacing w:val="0"/>
        <w:jc w:val="both"/>
        <w:rPr>
          <w:rFonts w:ascii="Times New Roman" w:hAnsi="Times New Roman" w:eastAsia="Times New Roman" w:cs="Times New Roman"/>
          <w:sz w:val="24"/>
          <w:szCs w:val="24"/>
          <w:lang w:val="en-AU"/>
        </w:rPr>
      </w:pPr>
      <w:r>
        <w:rPr>
          <w:rFonts w:ascii="Times New Roman" w:hAnsi="Times New Roman" w:eastAsia="Times New Roman" w:cs="Times New Roman"/>
          <w:sz w:val="24"/>
          <w:szCs w:val="24"/>
          <w:lang w:val="en-AU"/>
        </w:rPr>
        <w:t>In the present case, the Australian Competition and Consumer Commission (ACCC) provide a claim about the extended warranties. The ACCC claims that it is actually a waste of money to purchase extended warranties because A</w:t>
      </w:r>
      <w:bookmarkStart w:id="5" w:name="_GoBack"/>
      <w:bookmarkEnd w:id="5"/>
      <w:r>
        <w:rPr>
          <w:rFonts w:ascii="Times New Roman" w:hAnsi="Times New Roman" w:eastAsia="Times New Roman" w:cs="Times New Roman"/>
          <w:sz w:val="24"/>
          <w:szCs w:val="24"/>
          <w:lang w:val="en-AU"/>
        </w:rPr>
        <w:t xml:space="preserve">ustralian Consumer Law has already forced the manufacturer and retailer to give a regardless protection of warranties to the purchase in the time of purchasing. Therefore ACCC wants to prohibit the purchasing of extended warranties. However, others disagree with the claim of the Australian Competition and Consumer (ACCC). Therefore the issue arises regarding the decision of ACCC. The present study will justify the criticism against the decision of ACCC.  </w:t>
      </w:r>
    </w:p>
    <w:p>
      <w:pPr>
        <w:pStyle w:val="2"/>
        <w:spacing w:line="360" w:lineRule="auto"/>
        <w:rPr>
          <w:rFonts w:cs="Times New Roman"/>
          <w:lang w:val="en-AU"/>
        </w:rPr>
      </w:pPr>
      <w:bookmarkStart w:id="2" w:name="_Toc526858217"/>
      <w:r>
        <w:rPr>
          <w:rFonts w:cs="Times New Roman"/>
          <w:lang w:val="en-AU"/>
        </w:rPr>
        <w:t>3.0 Identification of relevant law</w:t>
      </w:r>
      <w:bookmarkEnd w:id="2"/>
    </w:p>
    <w:p>
      <w:pPr>
        <w:spacing w:line="360" w:lineRule="auto"/>
        <w:contextualSpacing w:val="0"/>
        <w:jc w:val="both"/>
        <w:rPr>
          <w:rFonts w:ascii="Times New Roman" w:hAnsi="Times New Roman" w:eastAsia="Times New Roman" w:cs="Times New Roman"/>
          <w:sz w:val="24"/>
          <w:szCs w:val="24"/>
          <w:lang w:val="en-AU"/>
        </w:rPr>
      </w:pPr>
      <w:r>
        <w:rPr>
          <w:rFonts w:ascii="Times New Roman" w:hAnsi="Times New Roman" w:eastAsia="Times New Roman" w:cs="Times New Roman"/>
          <w:sz w:val="24"/>
          <w:szCs w:val="24"/>
          <w:lang w:val="en-AU"/>
        </w:rPr>
        <w:t xml:space="preserve">The law of Consumer in Australia provides the provision regarding the extended warranties. Under the provision of Australian Consumer Law, an arrangement in which a customer pays an amount to any other person who is agreeing to repair or replace any parts belonging to the customer. The parts that were replaced should attain any event of failure or defect in the course of performing its work is termed as Extended Warranty. The provider of this type of warranty generally prescribed this product covering the additional coverage of protection under existing warranties. However, it can be assumed that it is a trap to mislead consumers for the benefits of the manufacturer or retailer. </w:t>
      </w:r>
    </w:p>
    <w:p>
      <w:pPr>
        <w:spacing w:line="360" w:lineRule="auto"/>
        <w:contextualSpacing w:val="0"/>
        <w:jc w:val="both"/>
        <w:rPr>
          <w:rFonts w:ascii="Times New Roman" w:hAnsi="Times New Roman" w:eastAsia="Times New Roman" w:cs="Times New Roman"/>
          <w:sz w:val="24"/>
          <w:szCs w:val="24"/>
          <w:lang w:val="en-AU"/>
        </w:rPr>
      </w:pPr>
      <w:r>
        <w:rPr>
          <w:rFonts w:ascii="Times New Roman" w:hAnsi="Times New Roman" w:eastAsia="Times New Roman" w:cs="Times New Roman"/>
          <w:sz w:val="24"/>
          <w:szCs w:val="24"/>
          <w:lang w:val="en-AU"/>
        </w:rPr>
        <w:t xml:space="preserve">The Australian Consumer Law provisions are protected under the </w:t>
      </w:r>
      <w:r>
        <w:rPr>
          <w:rFonts w:ascii="Times New Roman" w:hAnsi="Times New Roman" w:eastAsia="Times New Roman" w:cs="Times New Roman"/>
          <w:b/>
          <w:i/>
          <w:sz w:val="24"/>
          <w:szCs w:val="24"/>
          <w:lang w:val="en-AU"/>
        </w:rPr>
        <w:t>Competition and Consumer Act 2010</w:t>
      </w:r>
      <w:r>
        <w:rPr>
          <w:rFonts w:ascii="Times New Roman" w:hAnsi="Times New Roman" w:eastAsia="Times New Roman" w:cs="Times New Roman"/>
          <w:sz w:val="24"/>
          <w:szCs w:val="24"/>
          <w:lang w:val="en-AU"/>
        </w:rPr>
        <w:t xml:space="preserve"> governed by Australian Competition and Consumer Commission (ACCC)</w:t>
      </w:r>
      <w:r>
        <w:rPr>
          <w:rStyle w:val="18"/>
          <w:rFonts w:ascii="Times New Roman" w:hAnsi="Times New Roman" w:eastAsia="Times New Roman" w:cs="Times New Roman"/>
          <w:sz w:val="24"/>
          <w:szCs w:val="24"/>
          <w:lang w:val="en-AU"/>
        </w:rPr>
        <w:footnoteReference w:id="0"/>
      </w:r>
      <w:r>
        <w:rPr>
          <w:rFonts w:ascii="Times New Roman" w:hAnsi="Times New Roman" w:eastAsia="Times New Roman" w:cs="Times New Roman"/>
          <w:sz w:val="24"/>
          <w:szCs w:val="24"/>
          <w:lang w:val="en-AU"/>
        </w:rPr>
        <w:t xml:space="preserve">. Any defect or misrepresentation of warranties leads the customers to ACCC for claiming the damages. </w:t>
      </w:r>
    </w:p>
    <w:p>
      <w:pPr>
        <w:spacing w:line="360" w:lineRule="auto"/>
        <w:contextualSpacing w:val="0"/>
        <w:jc w:val="both"/>
        <w:rPr>
          <w:rFonts w:ascii="Times New Roman" w:hAnsi="Times New Roman" w:eastAsia="Times New Roman" w:cs="Times New Roman"/>
          <w:sz w:val="24"/>
          <w:szCs w:val="24"/>
          <w:lang w:val="en-AU"/>
        </w:rPr>
      </w:pPr>
      <w:r>
        <w:rPr>
          <w:rFonts w:ascii="Times New Roman" w:hAnsi="Times New Roman" w:eastAsia="Times New Roman" w:cs="Times New Roman"/>
          <w:sz w:val="24"/>
          <w:szCs w:val="24"/>
          <w:lang w:val="en-AU"/>
        </w:rPr>
        <w:t xml:space="preserve">One of the famous cases regarding misrepresentation of warranties was </w:t>
      </w:r>
      <w:r>
        <w:rPr>
          <w:rFonts w:ascii="Times New Roman" w:hAnsi="Times New Roman" w:eastAsia="Times New Roman" w:cs="Times New Roman"/>
          <w:b/>
          <w:i/>
          <w:sz w:val="24"/>
          <w:szCs w:val="24"/>
          <w:lang w:val="en-AU"/>
        </w:rPr>
        <w:t>ACCC v LG Electronics Australia Pty Ltd [2017] FCA 1047</w:t>
      </w:r>
      <w:r>
        <w:rPr>
          <w:rFonts w:ascii="Times New Roman" w:hAnsi="Times New Roman" w:eastAsia="Times New Roman" w:cs="Times New Roman"/>
          <w:sz w:val="24"/>
          <w:szCs w:val="24"/>
          <w:lang w:val="en-AU"/>
        </w:rPr>
        <w:t xml:space="preserve">. Though the case was dismissed by the federal court and provide judgment in favour of LG yet it captures a huge limelight.  The case was instituted in the court by Australian Competition and Consumer Commission (ACCC) on 2017 alleging that LG Australia in continuously cheating with its customer regarding the replacement of the damaged products. Moreover, the company's manufacturer and retailer are misrepresenting to the consumer regarding the policies of the of the manufacture warranty. Therefore the ACCC instituted a case against LG Electronics goods under Australian Consumer Law. The ACCC argued that the official website of LG was misleading about the manufacturer warranties; therefore, it amounts in a breaking of rules and regulation induced by provisions of the </w:t>
      </w:r>
      <w:r>
        <w:rPr>
          <w:rFonts w:ascii="Times New Roman" w:hAnsi="Times New Roman" w:eastAsia="Times New Roman" w:cs="Times New Roman"/>
          <w:b/>
          <w:i/>
          <w:sz w:val="24"/>
          <w:szCs w:val="24"/>
          <w:lang w:val="en-AU"/>
        </w:rPr>
        <w:t>Competition and Consumer Act 2010</w:t>
      </w:r>
      <w:r>
        <w:rPr>
          <w:rFonts w:ascii="Times New Roman" w:hAnsi="Times New Roman" w:eastAsia="Times New Roman" w:cs="Times New Roman"/>
          <w:sz w:val="24"/>
          <w:szCs w:val="24"/>
          <w:lang w:val="en-AU"/>
        </w:rPr>
        <w:t>. The honourable court dismissed the proceeding of the case</w:t>
      </w:r>
      <w:r>
        <w:rPr>
          <w:rStyle w:val="18"/>
          <w:rFonts w:ascii="Times New Roman" w:hAnsi="Times New Roman" w:eastAsia="Times New Roman" w:cs="Times New Roman"/>
          <w:sz w:val="24"/>
          <w:szCs w:val="24"/>
          <w:lang w:val="en-AU"/>
        </w:rPr>
        <w:footnoteReference w:id="1"/>
      </w:r>
      <w:r>
        <w:rPr>
          <w:rFonts w:ascii="Times New Roman" w:hAnsi="Times New Roman" w:eastAsia="Times New Roman" w:cs="Times New Roman"/>
          <w:sz w:val="24"/>
          <w:szCs w:val="24"/>
          <w:lang w:val="en-AU"/>
        </w:rPr>
        <w:t>.</w:t>
      </w:r>
    </w:p>
    <w:p>
      <w:pPr>
        <w:spacing w:line="360" w:lineRule="auto"/>
        <w:contextualSpacing w:val="0"/>
        <w:jc w:val="both"/>
        <w:rPr>
          <w:rFonts w:ascii="Times New Roman" w:hAnsi="Times New Roman" w:eastAsia="Times New Roman" w:cs="Times New Roman"/>
          <w:sz w:val="24"/>
          <w:szCs w:val="24"/>
          <w:lang w:val="en-AU"/>
        </w:rPr>
      </w:pPr>
      <w:r>
        <w:rPr>
          <w:rFonts w:ascii="Times New Roman" w:hAnsi="Times New Roman" w:eastAsia="Times New Roman" w:cs="Times New Roman"/>
          <w:sz w:val="24"/>
          <w:szCs w:val="24"/>
          <w:lang w:val="en-AU"/>
        </w:rPr>
        <w:t xml:space="preserve">The Australian Consumer Law also provides the condition about treating the extended warranties as financial products. Generally, a customer affords an extended warranty to minimize the cost of repairing goods if the goods break down or develop any problem in performing any task. Under </w:t>
      </w:r>
      <w:r>
        <w:rPr>
          <w:rFonts w:ascii="Times New Roman" w:hAnsi="Times New Roman" w:eastAsia="Times New Roman" w:cs="Times New Roman"/>
          <w:b/>
          <w:i/>
          <w:sz w:val="24"/>
          <w:szCs w:val="24"/>
          <w:lang w:val="en-AU"/>
        </w:rPr>
        <w:t>Section 12 Clause B Sub-clause AA Subsection 1 and 5</w:t>
      </w:r>
      <w:r>
        <w:rPr>
          <w:rFonts w:ascii="Times New Roman" w:hAnsi="Times New Roman" w:eastAsia="Times New Roman" w:cs="Times New Roman"/>
          <w:sz w:val="24"/>
          <w:szCs w:val="24"/>
          <w:lang w:val="en-AU"/>
        </w:rPr>
        <w:t xml:space="preserve"> of the </w:t>
      </w:r>
      <w:r>
        <w:rPr>
          <w:rFonts w:ascii="Times New Roman" w:hAnsi="Times New Roman" w:eastAsia="Times New Roman" w:cs="Times New Roman"/>
          <w:b/>
          <w:i/>
          <w:sz w:val="24"/>
          <w:szCs w:val="24"/>
          <w:lang w:val="en-AU"/>
        </w:rPr>
        <w:t>Australian Securities and Investments Commission Act 2001</w:t>
      </w:r>
      <w:r>
        <w:rPr>
          <w:rFonts w:ascii="Times New Roman" w:hAnsi="Times New Roman" w:eastAsia="Times New Roman" w:cs="Times New Roman"/>
          <w:sz w:val="24"/>
          <w:szCs w:val="24"/>
          <w:lang w:val="en-AU"/>
        </w:rPr>
        <w:t xml:space="preserve"> states that extended warranties are basically financial products as their facilities can be gained only by the customer's financial contribution</w:t>
      </w:r>
      <w:r>
        <w:rPr>
          <w:rStyle w:val="18"/>
          <w:rFonts w:ascii="Times New Roman" w:hAnsi="Times New Roman" w:eastAsia="Times New Roman" w:cs="Times New Roman"/>
          <w:sz w:val="24"/>
          <w:szCs w:val="24"/>
          <w:lang w:val="en-AU"/>
        </w:rPr>
        <w:footnoteReference w:id="2"/>
      </w:r>
      <w:r>
        <w:rPr>
          <w:rFonts w:ascii="Times New Roman" w:hAnsi="Times New Roman" w:eastAsia="Times New Roman" w:cs="Times New Roman"/>
          <w:sz w:val="24"/>
          <w:szCs w:val="24"/>
          <w:lang w:val="en-AU"/>
        </w:rPr>
        <w:t xml:space="preserve">. </w:t>
      </w:r>
    </w:p>
    <w:p>
      <w:pPr>
        <w:spacing w:line="360" w:lineRule="auto"/>
        <w:contextualSpacing w:val="0"/>
        <w:jc w:val="both"/>
        <w:rPr>
          <w:rFonts w:ascii="Times New Roman" w:hAnsi="Times New Roman" w:eastAsia="Times New Roman" w:cs="Times New Roman"/>
          <w:sz w:val="24"/>
          <w:szCs w:val="24"/>
          <w:lang w:val="en-AU"/>
        </w:rPr>
      </w:pPr>
      <w:r>
        <w:rPr>
          <w:rFonts w:ascii="Times New Roman" w:hAnsi="Times New Roman" w:eastAsia="Times New Roman" w:cs="Times New Roman"/>
          <w:sz w:val="24"/>
          <w:szCs w:val="24"/>
          <w:lang w:val="en-AU"/>
        </w:rPr>
        <w:t>There are two types of extended warranties such as Manufacturers’ Extended Warranties and Third-party Warranty provider. The Manufacturer’s Extended Warranties can be availed from date of purchasing the products. It also covers the incidental goods and ensures the quality of the purchased goods</w:t>
      </w:r>
      <w:r>
        <w:rPr>
          <w:rStyle w:val="18"/>
          <w:rFonts w:ascii="Times New Roman" w:hAnsi="Times New Roman" w:eastAsia="Times New Roman" w:cs="Times New Roman"/>
          <w:sz w:val="24"/>
          <w:szCs w:val="24"/>
          <w:lang w:val="en-AU"/>
        </w:rPr>
        <w:footnoteReference w:id="3"/>
      </w:r>
      <w:r>
        <w:rPr>
          <w:rFonts w:ascii="Times New Roman" w:hAnsi="Times New Roman" w:eastAsia="Times New Roman" w:cs="Times New Roman"/>
          <w:sz w:val="24"/>
          <w:szCs w:val="24"/>
          <w:lang w:val="en-AU"/>
        </w:rPr>
        <w:t xml:space="preserve">. However, this type of warranties exempted the expenses that related to the quality of the goods. The warranty also exempted, if customers enhance its value of coverage into a different level. Moreover, the warranty is not applicable to those purchases by the customer, if the customers face the problem just after purchasing the goods. However, it is also not applicable for those goods in which sale of contract separate and deliberate the purchasing decision related with both purchasing of the goods and the extended warranties. </w:t>
      </w:r>
    </w:p>
    <w:p>
      <w:pPr>
        <w:spacing w:line="360" w:lineRule="auto"/>
        <w:contextualSpacing w:val="0"/>
        <w:jc w:val="both"/>
        <w:rPr>
          <w:rFonts w:ascii="Times New Roman" w:hAnsi="Times New Roman" w:eastAsia="Times New Roman" w:cs="Times New Roman"/>
          <w:sz w:val="24"/>
          <w:szCs w:val="24"/>
          <w:lang w:val="en-AU"/>
        </w:rPr>
      </w:pPr>
      <w:r>
        <w:rPr>
          <w:rFonts w:ascii="Times New Roman" w:hAnsi="Times New Roman" w:eastAsia="Times New Roman" w:cs="Times New Roman"/>
          <w:sz w:val="24"/>
          <w:szCs w:val="24"/>
          <w:lang w:val="en-AU"/>
        </w:rPr>
        <w:t>The third-party warranty provider the extended warranties to those customers who are purchasing the goods from the retailer</w:t>
      </w:r>
      <w:r>
        <w:rPr>
          <w:rStyle w:val="18"/>
          <w:rFonts w:ascii="Times New Roman" w:hAnsi="Times New Roman" w:eastAsia="Times New Roman" w:cs="Times New Roman"/>
          <w:sz w:val="24"/>
          <w:szCs w:val="24"/>
          <w:lang w:val="en-AU"/>
        </w:rPr>
        <w:footnoteReference w:id="4"/>
      </w:r>
      <w:r>
        <w:rPr>
          <w:rFonts w:ascii="Times New Roman" w:hAnsi="Times New Roman" w:eastAsia="Times New Roman" w:cs="Times New Roman"/>
          <w:sz w:val="24"/>
          <w:szCs w:val="24"/>
          <w:lang w:val="en-AU"/>
        </w:rPr>
        <w:t xml:space="preserve">.This type of warranties might be delivered on the behalf of the retailer. However, this type of warranties does not provide in the term of incidental purchasing. Moreover, this type of warranties can be termed as financial products.  </w:t>
      </w:r>
    </w:p>
    <w:p>
      <w:pPr>
        <w:pStyle w:val="2"/>
        <w:spacing w:line="360" w:lineRule="auto"/>
        <w:rPr>
          <w:rFonts w:cs="Times New Roman"/>
          <w:lang w:val="en-AU"/>
        </w:rPr>
      </w:pPr>
      <w:bookmarkStart w:id="3" w:name="_Toc526858218"/>
      <w:r>
        <w:rPr>
          <w:rFonts w:cs="Times New Roman"/>
          <w:lang w:val="en-AU"/>
        </w:rPr>
        <w:t>4.0 Justification of Criticism</w:t>
      </w:r>
      <w:bookmarkEnd w:id="3"/>
      <w:r>
        <w:rPr>
          <w:rFonts w:cs="Times New Roman"/>
          <w:lang w:val="en-AU"/>
        </w:rPr>
        <w:t xml:space="preserve"> </w:t>
      </w:r>
    </w:p>
    <w:p>
      <w:pPr>
        <w:spacing w:line="360" w:lineRule="auto"/>
        <w:contextualSpacing w:val="0"/>
        <w:jc w:val="both"/>
        <w:rPr>
          <w:rFonts w:ascii="Times New Roman" w:hAnsi="Times New Roman" w:eastAsia="Times New Roman" w:cs="Times New Roman"/>
          <w:sz w:val="24"/>
          <w:szCs w:val="24"/>
          <w:lang w:val="en-AU"/>
        </w:rPr>
      </w:pPr>
      <w:r>
        <w:rPr>
          <w:rFonts w:ascii="Times New Roman" w:hAnsi="Times New Roman" w:eastAsia="Times New Roman" w:cs="Times New Roman"/>
          <w:sz w:val="24"/>
          <w:szCs w:val="24"/>
          <w:lang w:val="en-AU"/>
        </w:rPr>
        <w:t>An extension of time of coverage for the Standard warranty can be term as Extended Warranty. The customer can expand the time by paying an amount to the warranty provider. That means the customer is actually securing the time period for its belonging goods</w:t>
      </w:r>
      <w:r>
        <w:rPr>
          <w:rStyle w:val="18"/>
          <w:rFonts w:ascii="Times New Roman" w:hAnsi="Times New Roman" w:eastAsia="Times New Roman" w:cs="Times New Roman"/>
          <w:sz w:val="24"/>
          <w:szCs w:val="24"/>
          <w:lang w:val="en-AU"/>
        </w:rPr>
        <w:footnoteReference w:id="5"/>
      </w:r>
      <w:r>
        <w:rPr>
          <w:rFonts w:ascii="Times New Roman" w:hAnsi="Times New Roman" w:eastAsia="Times New Roman" w:cs="Times New Roman"/>
          <w:sz w:val="24"/>
          <w:szCs w:val="24"/>
          <w:lang w:val="en-AU"/>
        </w:rPr>
        <w:t xml:space="preserve">. The retailer actually incorporates the extra scoop of time regarding the extension of coverage in of security period. However, the retailer actually misleads in the procurement process. </w:t>
      </w:r>
    </w:p>
    <w:p>
      <w:pPr>
        <w:spacing w:line="360" w:lineRule="auto"/>
        <w:contextualSpacing w:val="0"/>
        <w:jc w:val="both"/>
        <w:rPr>
          <w:rFonts w:ascii="Times New Roman" w:hAnsi="Times New Roman" w:eastAsia="Times New Roman" w:cs="Times New Roman"/>
          <w:sz w:val="24"/>
          <w:szCs w:val="24"/>
          <w:lang w:val="en-AU"/>
        </w:rPr>
      </w:pPr>
      <w:r>
        <w:rPr>
          <w:rFonts w:ascii="Times New Roman" w:hAnsi="Times New Roman" w:eastAsia="Times New Roman" w:cs="Times New Roman"/>
          <w:sz w:val="24"/>
          <w:szCs w:val="24"/>
          <w:lang w:val="en-AU"/>
        </w:rPr>
        <w:t>In recent time the seller offer extended the warranty or the extra bunch of care expanding the time period provided by the producer during the purchase of the products</w:t>
      </w:r>
      <w:r>
        <w:rPr>
          <w:rStyle w:val="18"/>
          <w:rFonts w:ascii="Times New Roman" w:hAnsi="Times New Roman" w:eastAsia="Times New Roman" w:cs="Times New Roman"/>
          <w:sz w:val="24"/>
          <w:szCs w:val="24"/>
          <w:lang w:val="en-AU"/>
        </w:rPr>
        <w:footnoteReference w:id="6"/>
      </w:r>
      <w:r>
        <w:rPr>
          <w:rFonts w:ascii="Times New Roman" w:hAnsi="Times New Roman" w:eastAsia="Times New Roman" w:cs="Times New Roman"/>
          <w:sz w:val="24"/>
          <w:szCs w:val="24"/>
          <w:lang w:val="en-AU"/>
        </w:rPr>
        <w:t xml:space="preserve">. Some of the retailers provide an offer of extended warranties with the additional assurance on the products purchased by customers. Some retailer provides the offer during the purchasing time of the products that would cost little to the customers. However, most of the retailer does not provide knowledge regarding manufacturer’s extended warranties that have already provided to the customers during the purchase of the products. </w:t>
      </w:r>
    </w:p>
    <w:p>
      <w:pPr>
        <w:spacing w:line="360" w:lineRule="auto"/>
        <w:contextualSpacing w:val="0"/>
        <w:jc w:val="both"/>
        <w:rPr>
          <w:rFonts w:ascii="Times New Roman" w:hAnsi="Times New Roman" w:eastAsia="Times New Roman" w:cs="Times New Roman"/>
          <w:sz w:val="24"/>
          <w:szCs w:val="24"/>
          <w:lang w:val="en-AU"/>
        </w:rPr>
      </w:pPr>
      <w:r>
        <w:rPr>
          <w:rFonts w:ascii="Times New Roman" w:hAnsi="Times New Roman" w:eastAsia="Times New Roman" w:cs="Times New Roman"/>
          <w:sz w:val="24"/>
          <w:szCs w:val="24"/>
          <w:lang w:val="en-AU"/>
        </w:rPr>
        <w:t>In recent time the Australian Competition and Consumer (ACCC) provides the third party extended warranties must be prohibited because the Australian law had already the force to manufacturer and retailers to provide regardless protection of warranties to the customer from date of purchase of the products</w:t>
      </w:r>
      <w:r>
        <w:rPr>
          <w:rStyle w:val="18"/>
          <w:rFonts w:ascii="Times New Roman" w:hAnsi="Times New Roman" w:eastAsia="Times New Roman" w:cs="Times New Roman"/>
          <w:sz w:val="24"/>
          <w:szCs w:val="24"/>
          <w:lang w:val="en-AU"/>
        </w:rPr>
        <w:footnoteReference w:id="7"/>
      </w:r>
      <w:r>
        <w:rPr>
          <w:rFonts w:ascii="Times New Roman" w:hAnsi="Times New Roman" w:eastAsia="Times New Roman" w:cs="Times New Roman"/>
          <w:sz w:val="24"/>
          <w:szCs w:val="24"/>
          <w:lang w:val="en-AU"/>
        </w:rPr>
        <w:t xml:space="preserve">. The commission stated that the policies of extended warranties provide a financial loss for customers. Moreover, the supplier of the products is breaching the rules and regulation provided by the </w:t>
      </w:r>
      <w:r>
        <w:rPr>
          <w:rFonts w:ascii="Times New Roman" w:hAnsi="Times New Roman" w:eastAsia="Times New Roman" w:cs="Times New Roman"/>
          <w:b/>
          <w:i/>
          <w:sz w:val="24"/>
          <w:szCs w:val="24"/>
          <w:lang w:val="en-AU"/>
        </w:rPr>
        <w:t xml:space="preserve">Competition and Consumer Act 2010. </w:t>
      </w:r>
      <w:r>
        <w:rPr>
          <w:rFonts w:ascii="Times New Roman" w:hAnsi="Times New Roman" w:eastAsia="Times New Roman" w:cs="Times New Roman"/>
          <w:sz w:val="24"/>
          <w:szCs w:val="24"/>
          <w:lang w:val="en-AU"/>
        </w:rPr>
        <w:t xml:space="preserve"> However, it is the statement of the Australian Competition and Consumer (ACCC) is not absolutely true as the extended warranties are optional. Suppliers can breach the law only if they provide an unwanted burden or use a biased strategy to the customer for buying the extended warranties. Moreover, if the supplier misinforms the customer regarding compensation rights provided under the customer's assurance.</w:t>
      </w:r>
    </w:p>
    <w:p>
      <w:pPr>
        <w:spacing w:line="360" w:lineRule="auto"/>
        <w:contextualSpacing w:val="0"/>
        <w:jc w:val="both"/>
        <w:rPr>
          <w:rFonts w:ascii="Times New Roman" w:hAnsi="Times New Roman" w:eastAsia="Times New Roman" w:cs="Times New Roman"/>
          <w:sz w:val="24"/>
          <w:szCs w:val="24"/>
          <w:lang w:val="en-AU"/>
        </w:rPr>
      </w:pPr>
      <w:r>
        <w:rPr>
          <w:rFonts w:ascii="Times New Roman" w:hAnsi="Times New Roman" w:eastAsia="Times New Roman" w:cs="Times New Roman"/>
          <w:sz w:val="24"/>
          <w:szCs w:val="24"/>
          <w:lang w:val="en-AU"/>
        </w:rPr>
        <w:t>The retailers also provide various offers in the extended policy of the warranties served by them for the benefits of the customer. Most the claim of the retailer for the extension of warranty provides for gaining the retention of the customers and loyalty of them towards the customers. It has been seen in the previous survey that customers probably deal with the faithful dealers that provide magnificent communication and offer to its customers. In order to gain a strong customers base the retailer often provide various incentive and offers in the policy of extended warranties. Moreover, the retailer claims that a decent extended warranty should provide help with 24 hrs of the working day. On the contrary, the statement of Australian Competition and Consumer Commission (ACCC) is nullified because the retailer’s extended warranty policy helps the customer to regain more incentive regarding its purchasing. The extended offer also helps to improve relations within the dealership. The decent extended warranties do not only claim in only pursue an extended offer. However, it builds a relationship with the dealer. The quality of the security also increases with the help of the relationship. However, the extended policy not only helps to minimize the cost but it also builds a relationship with the retailer. On the other hand, the claim of ACCC is not applicable as the customer to foremost contact with retailers from where the products have been purchased. The policy of extended warranties will help the customers to prevail various offers. Moreover, it might cause a financial loss of the customer yet it minimises the cost of the repairing of the products. However, the Australian Consumer law has provided various rules for enforcing the protection to the customers regarding purchasing of the products though prohibition of the extended warranties not only hamper the interest of retailer, it also provides problems for the customer to induce various offer regarding purchasing. Therefore, the claim of the Australian Competition and Consumer Commission (ACCC) is not absolutely true</w:t>
      </w:r>
    </w:p>
    <w:p>
      <w:pPr>
        <w:pStyle w:val="2"/>
        <w:spacing w:line="360" w:lineRule="auto"/>
        <w:rPr>
          <w:rFonts w:cs="Times New Roman"/>
          <w:lang w:val="en-AU"/>
        </w:rPr>
      </w:pPr>
      <w:bookmarkStart w:id="4" w:name="_Toc526858219"/>
      <w:r>
        <w:rPr>
          <w:rFonts w:cs="Times New Roman"/>
          <w:lang w:val="en-AU"/>
        </w:rPr>
        <w:t>5.0 Conclusion</w:t>
      </w:r>
      <w:bookmarkEnd w:id="4"/>
      <w:r>
        <w:rPr>
          <w:rFonts w:cs="Times New Roman"/>
          <w:lang w:val="en-AU"/>
        </w:rPr>
        <w:t xml:space="preserve"> </w:t>
      </w:r>
    </w:p>
    <w:p>
      <w:pPr>
        <w:spacing w:line="360" w:lineRule="auto"/>
        <w:contextualSpacing w:val="0"/>
        <w:jc w:val="both"/>
        <w:rPr>
          <w:rFonts w:ascii="Times New Roman" w:hAnsi="Times New Roman" w:eastAsia="Times New Roman" w:cs="Times New Roman"/>
          <w:sz w:val="24"/>
          <w:szCs w:val="24"/>
          <w:lang w:val="en-AU"/>
        </w:rPr>
      </w:pPr>
      <w:r>
        <w:rPr>
          <w:rFonts w:ascii="Times New Roman" w:hAnsi="Times New Roman" w:eastAsia="Times New Roman" w:cs="Times New Roman"/>
          <w:sz w:val="24"/>
          <w:szCs w:val="24"/>
          <w:lang w:val="en-AU"/>
        </w:rPr>
        <w:t xml:space="preserve">It can be concluded from the above analysis that the statement of Australian Competition and Consumer Commission (ACCC) is not applicable for all the products purchased by customers. The policy of extended warranties might increase the price of the products, though it is very necessary to build a relationship with the consumer and retailer. Moreover, it is needed because it helps to resolve the problem within 24 hours of the working day. There is the law that forces consumers to get protection for the products that have been purchased yet it only provide in repair or replacement of the damaged parts only. Hence, consumers do not lead to various levels of coverage for their product that been consumed. </w:t>
      </w:r>
    </w:p>
    <w:p>
      <w:pPr>
        <w:spacing w:line="360" w:lineRule="auto"/>
        <w:rPr>
          <w:rFonts w:ascii="Times New Roman" w:hAnsi="Times New Roman" w:eastAsia="Times New Roman" w:cs="Times New Roman"/>
          <w:sz w:val="24"/>
          <w:szCs w:val="24"/>
          <w:lang w:val="en-AU"/>
        </w:rPr>
      </w:pPr>
      <w:r>
        <w:rPr>
          <w:rFonts w:ascii="Times New Roman" w:hAnsi="Times New Roman" w:eastAsia="Times New Roman" w:cs="Times New Roman"/>
          <w:sz w:val="24"/>
          <w:szCs w:val="24"/>
          <w:lang w:val="en-AU"/>
        </w:rPr>
        <w:br w:type="page"/>
      </w:r>
    </w:p>
    <w:p>
      <w:pPr>
        <w:spacing w:line="360" w:lineRule="auto"/>
        <w:jc w:val="both"/>
        <w:rPr>
          <w:rFonts w:ascii="Times New Roman" w:hAnsi="Times New Roman" w:cs="Times New Roman"/>
          <w:sz w:val="24"/>
          <w:szCs w:val="24"/>
        </w:rPr>
      </w:pPr>
    </w:p>
    <w:sectPr>
      <w:footerReference r:id="rId4" w:type="default"/>
      <w:pgSz w:w="12240" w:h="15840"/>
      <w:pgMar w:top="1440" w:right="1440" w:bottom="1440" w:left="1440" w:header="0" w:footer="720" w:gutter="0"/>
      <w:pgBorders w:offsetFrom="page">
        <w:top w:val="single" w:color="auto" w:sz="4" w:space="24"/>
        <w:left w:val="single" w:color="auto" w:sz="4" w:space="24"/>
        <w:bottom w:val="single" w:color="auto" w:sz="4" w:space="24"/>
        <w:right w:val="single" w:color="auto" w:sz="4" w:space="24"/>
      </w:pgBorders>
      <w:pgNumType w:start="1"/>
      <w:cols w:space="708" w:num="1"/>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80538"/>
      <w:docPartObj>
        <w:docPartGallery w:val="AutoText"/>
      </w:docPartObj>
    </w:sdtPr>
    <w:sdtContent>
      <w:p>
        <w:pPr>
          <w:pStyle w:val="10"/>
          <w:jc w:val="right"/>
        </w:pPr>
        <w:r>
          <w:fldChar w:fldCharType="begin"/>
        </w:r>
        <w:r>
          <w:instrText xml:space="preserve"> PAGE   \* MERGEFORMAT </w:instrText>
        </w:r>
        <w:r>
          <w:fldChar w:fldCharType="separate"/>
        </w:r>
        <w:r>
          <w:t>8</w:t>
        </w:r>
        <w:r>
          <w:fldChar w:fldCharType="end"/>
        </w:r>
      </w:p>
    </w:sdtContent>
  </w:sdt>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jc w:val="both"/>
        <w:rPr>
          <w:lang w:val="en-US"/>
        </w:rPr>
      </w:pPr>
      <w:r>
        <w:rPr>
          <w:rStyle w:val="18"/>
        </w:rPr>
        <w:footnoteRef/>
      </w:r>
      <w:r>
        <w:t xml:space="preserve"> </w:t>
      </w:r>
      <w:r>
        <w:rPr>
          <w:rFonts w:ascii="Times New Roman" w:hAnsi="Times New Roman" w:cs="Times New Roman"/>
          <w:sz w:val="20"/>
          <w:szCs w:val="20"/>
        </w:rPr>
        <w:t>Legislation.gov.au Competition and Consumer Act 2010 (2017) Cited at: https://www.legislation.gov.au/Details/C2017C00369 (visited on 23/09/2018)</w:t>
      </w:r>
    </w:p>
  </w:footnote>
  <w:footnote w:id="1">
    <w:p>
      <w:pPr>
        <w:jc w:val="both"/>
        <w:rPr>
          <w:lang w:val="en-US"/>
        </w:rPr>
      </w:pPr>
      <w:r>
        <w:rPr>
          <w:rStyle w:val="18"/>
        </w:rPr>
        <w:footnoteRef/>
      </w:r>
      <w:r>
        <w:rPr>
          <w:rFonts w:ascii="Times New Roman" w:hAnsi="Times New Roman" w:cs="Times New Roman"/>
          <w:sz w:val="20"/>
          <w:szCs w:val="20"/>
        </w:rPr>
        <w:t>Timebase.com.au ACCC v LG Electronics Australia Pty Ltd [2017] FCA 1047   9 (2017) Cited at:  https://www.timebase.com.au/news/2017/AT04381-article.html (visited on 23/09/2018)</w:t>
      </w:r>
    </w:p>
  </w:footnote>
  <w:footnote w:id="2">
    <w:p>
      <w:pPr>
        <w:jc w:val="both"/>
        <w:rPr>
          <w:rFonts w:ascii="Times New Roman" w:hAnsi="Times New Roman" w:cs="Times New Roman"/>
          <w:sz w:val="20"/>
          <w:szCs w:val="20"/>
        </w:rPr>
      </w:pPr>
      <w:r>
        <w:rPr>
          <w:rStyle w:val="18"/>
        </w:rPr>
        <w:footnoteRef/>
      </w:r>
      <w:r>
        <w:rPr>
          <w:rFonts w:ascii="Times New Roman" w:hAnsi="Times New Roman" w:cs="Times New Roman"/>
          <w:sz w:val="20"/>
          <w:szCs w:val="20"/>
        </w:rPr>
        <w:t>Legislation.gov.au Competition and Consumer Act 2010 (2017) Cited at: https://www.legislation.gov.au/Details/C2017C00369 (visited on 23/09/2018)</w:t>
      </w:r>
    </w:p>
    <w:p>
      <w:pPr>
        <w:pStyle w:val="11"/>
        <w:rPr>
          <w:lang w:val="en-US"/>
        </w:rPr>
      </w:pPr>
    </w:p>
  </w:footnote>
  <w:footnote w:id="3">
    <w:p>
      <w:pPr>
        <w:jc w:val="both"/>
        <w:rPr>
          <w:rFonts w:ascii="Times New Roman" w:hAnsi="Times New Roman" w:cs="Times New Roman"/>
          <w:sz w:val="20"/>
          <w:szCs w:val="20"/>
          <w:lang w:val="en-US"/>
        </w:rPr>
      </w:pPr>
      <w:r>
        <w:rPr>
          <w:rStyle w:val="18"/>
          <w:rFonts w:ascii="Times New Roman" w:hAnsi="Times New Roman" w:cs="Times New Roman"/>
          <w:sz w:val="20"/>
          <w:szCs w:val="20"/>
        </w:rPr>
        <w:footnoteRef/>
      </w:r>
      <w:r>
        <w:rPr>
          <w:rFonts w:ascii="Times New Roman" w:hAnsi="Times New Roman" w:cs="Times New Roman"/>
          <w:sz w:val="20"/>
          <w:szCs w:val="20"/>
        </w:rPr>
        <w:t>Accc.gov.au Warranties and refunds a guide for consumers and business (2015) Cited at: https://www.accc.gov.au/system/files/Warranties%20and%20refunds%20-%20a%20guide%20for%20consumers%20and%20business.pdf (visited on 23/09/2018)</w:t>
      </w:r>
    </w:p>
  </w:footnote>
  <w:footnote w:id="4">
    <w:p>
      <w:pPr>
        <w:jc w:val="both"/>
        <w:rPr>
          <w:rFonts w:ascii="Times New Roman" w:hAnsi="Times New Roman" w:cs="Times New Roman"/>
          <w:sz w:val="20"/>
          <w:szCs w:val="20"/>
          <w:lang w:val="en-US"/>
        </w:rPr>
      </w:pPr>
      <w:r>
        <w:rPr>
          <w:rStyle w:val="18"/>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Corones, S.G., </w:t>
      </w:r>
      <w:r>
        <w:rPr>
          <w:rFonts w:ascii="Times New Roman" w:hAnsi="Times New Roman" w:cs="Times New Roman"/>
          <w:i/>
          <w:iCs/>
          <w:sz w:val="20"/>
          <w:szCs w:val="20"/>
          <w:shd w:val="clear" w:color="auto" w:fill="FFFFFF"/>
        </w:rPr>
        <w:t>Competition law in Australia</w:t>
      </w:r>
      <w:r>
        <w:rPr>
          <w:rFonts w:ascii="Times New Roman" w:hAnsi="Times New Roman" w:cs="Times New Roman"/>
          <w:sz w:val="20"/>
          <w:szCs w:val="20"/>
          <w:shd w:val="clear" w:color="auto" w:fill="FFFFFF"/>
        </w:rPr>
        <w:t>. (2014) Thomson Reuters Australia, Limited.</w:t>
      </w:r>
    </w:p>
  </w:footnote>
  <w:footnote w:id="5">
    <w:p>
      <w:pPr>
        <w:jc w:val="both"/>
        <w:rPr>
          <w:rFonts w:ascii="Times New Roman" w:hAnsi="Times New Roman" w:cs="Times New Roman"/>
          <w:sz w:val="20"/>
          <w:szCs w:val="20"/>
          <w:lang w:val="en-US"/>
        </w:rPr>
      </w:pPr>
      <w:r>
        <w:rPr>
          <w:rStyle w:val="18"/>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Altman, J. and Ward, S., Competition and consumer issues for Indigenous Australians: A report to the Australian Competition and Consumer Commission by the Centre for Aboriginal Economic Policy Research, the Australian National University, Canberra (2018).</w:t>
      </w:r>
    </w:p>
  </w:footnote>
  <w:footnote w:id="6">
    <w:p>
      <w:pPr>
        <w:jc w:val="both"/>
        <w:rPr>
          <w:lang w:val="en-US"/>
        </w:rPr>
      </w:pPr>
      <w:r>
        <w:rPr>
          <w:rStyle w:val="18"/>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 xml:space="preserve">Corones, S.G., Christensen, S.A. and Howell, N., Submission to Australian Consumer Law Review Issues Paper (2016). </w:t>
      </w:r>
    </w:p>
  </w:footnote>
  <w:footnote w:id="7">
    <w:p>
      <w:pPr>
        <w:jc w:val="both"/>
        <w:rPr>
          <w:rFonts w:ascii="Times New Roman" w:hAnsi="Times New Roman" w:cs="Times New Roman"/>
          <w:sz w:val="20"/>
          <w:szCs w:val="20"/>
          <w:lang w:val="en-US"/>
        </w:rPr>
      </w:pPr>
      <w:r>
        <w:rPr>
          <w:rStyle w:val="18"/>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 xml:space="preserve">Leigh, A. and Triggs, A., Markets, monopolies and moguls: The relationship between inequality and competition. (2016) </w:t>
      </w:r>
      <w:r>
        <w:rPr>
          <w:rFonts w:ascii="Times New Roman" w:hAnsi="Times New Roman" w:cs="Times New Roman"/>
          <w:i/>
          <w:iCs/>
          <w:sz w:val="20"/>
          <w:szCs w:val="20"/>
          <w:shd w:val="clear" w:color="auto" w:fill="FFFFFF"/>
        </w:rPr>
        <w:t>Australian Economic Review</w:t>
      </w:r>
      <w:r>
        <w:rPr>
          <w:rFonts w:ascii="Times New Roman" w:hAnsi="Times New Roman" w:cs="Times New Roman"/>
          <w:sz w:val="20"/>
          <w:szCs w:val="20"/>
          <w:shd w:val="clear" w:color="auto" w:fill="FFFFFF"/>
        </w:rPr>
        <w:t>, </w:t>
      </w:r>
      <w:r>
        <w:rPr>
          <w:rFonts w:ascii="Times New Roman" w:hAnsi="Times New Roman" w:cs="Times New Roman"/>
          <w:i/>
          <w:iCs/>
          <w:sz w:val="20"/>
          <w:szCs w:val="20"/>
          <w:shd w:val="clear" w:color="auto" w:fill="FFFFFF"/>
        </w:rPr>
        <w:t>49</w:t>
      </w:r>
      <w:r>
        <w:rPr>
          <w:rFonts w:ascii="Times New Roman" w:hAnsi="Times New Roman" w:cs="Times New Roman"/>
          <w:sz w:val="20"/>
          <w:szCs w:val="20"/>
          <w:shd w:val="clear" w:color="auto" w:fill="FFFFFF"/>
        </w:rPr>
        <w:t>(4), pp.389-412.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val="1"/>
  <w:documentProtection w:enforcement="0"/>
  <w:defaultTabStop w:val="720"/>
  <w:drawingGridHorizontalSpacing w:val="110"/>
  <w:displayHorizontalDrawingGridEvery w:val="2"/>
  <w:characterSpacingControl w:val="doNotCompress"/>
  <w:compat>
    <w:compatSetting w:name="compatibilityMode" w:uri="http://schemas.microsoft.com/office/word" w:val="12"/>
  </w:compat>
  <w:rsids>
    <w:rsidRoot w:val="00877C24"/>
    <w:rsid w:val="000820A3"/>
    <w:rsid w:val="00185283"/>
    <w:rsid w:val="001E3131"/>
    <w:rsid w:val="002B2164"/>
    <w:rsid w:val="002D2D32"/>
    <w:rsid w:val="004B3FAD"/>
    <w:rsid w:val="0050749D"/>
    <w:rsid w:val="00636DC8"/>
    <w:rsid w:val="00702D69"/>
    <w:rsid w:val="00877C24"/>
    <w:rsid w:val="00891D55"/>
    <w:rsid w:val="009B0AC2"/>
    <w:rsid w:val="009F2310"/>
    <w:rsid w:val="00A12795"/>
    <w:rsid w:val="00A7492B"/>
    <w:rsid w:val="00BA3D69"/>
    <w:rsid w:val="00BE2393"/>
    <w:rsid w:val="00BE3D60"/>
    <w:rsid w:val="00E779B6"/>
    <w:rsid w:val="00F31BA0"/>
    <w:rsid w:val="00F716B4"/>
    <w:rsid w:val="00FF1D86"/>
    <w:rsid w:val="6C0B43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contextualSpacing/>
    </w:pPr>
    <w:rPr>
      <w:rFonts w:ascii="Arial" w:hAnsi="Arial" w:eastAsia="Arial" w:cs="Arial"/>
      <w:sz w:val="22"/>
      <w:szCs w:val="22"/>
      <w:lang w:val="en-GB" w:eastAsia="en-US" w:bidi="ar-SA"/>
    </w:rPr>
  </w:style>
  <w:style w:type="paragraph" w:styleId="2">
    <w:name w:val="heading 1"/>
    <w:basedOn w:val="1"/>
    <w:next w:val="1"/>
    <w:uiPriority w:val="0"/>
    <w:pPr>
      <w:keepNext/>
      <w:keepLines/>
      <w:spacing w:before="400" w:after="120"/>
      <w:outlineLvl w:val="0"/>
    </w:pPr>
    <w:rPr>
      <w:rFonts w:ascii="Times New Roman" w:hAnsi="Times New Roman"/>
      <w:b/>
      <w:sz w:val="24"/>
      <w:szCs w:val="40"/>
    </w:rPr>
  </w:style>
  <w:style w:type="paragraph" w:styleId="3">
    <w:name w:val="heading 2"/>
    <w:basedOn w:val="1"/>
    <w:next w:val="1"/>
    <w:uiPriority w:val="0"/>
    <w:pPr>
      <w:keepNext/>
      <w:keepLines/>
      <w:spacing w:before="360" w:after="120"/>
      <w:outlineLvl w:val="1"/>
    </w:pPr>
    <w:rPr>
      <w:sz w:val="32"/>
      <w:szCs w:val="32"/>
    </w:rPr>
  </w:style>
  <w:style w:type="paragraph" w:styleId="4">
    <w:name w:val="heading 3"/>
    <w:basedOn w:val="1"/>
    <w:next w:val="1"/>
    <w:uiPriority w:val="0"/>
    <w:pPr>
      <w:keepNext/>
      <w:keepLines/>
      <w:spacing w:before="320" w:after="80"/>
      <w:outlineLvl w:val="2"/>
    </w:pPr>
    <w:rPr>
      <w:color w:val="434343"/>
      <w:sz w:val="28"/>
      <w:szCs w:val="28"/>
    </w:rPr>
  </w:style>
  <w:style w:type="paragraph" w:styleId="5">
    <w:name w:val="heading 4"/>
    <w:basedOn w:val="1"/>
    <w:next w:val="1"/>
    <w:uiPriority w:val="0"/>
    <w:pPr>
      <w:keepNext/>
      <w:keepLines/>
      <w:spacing w:before="280" w:after="80"/>
      <w:outlineLvl w:val="3"/>
    </w:pPr>
    <w:rPr>
      <w:color w:val="666666"/>
      <w:sz w:val="24"/>
      <w:szCs w:val="24"/>
    </w:rPr>
  </w:style>
  <w:style w:type="paragraph" w:styleId="6">
    <w:name w:val="heading 5"/>
    <w:basedOn w:val="1"/>
    <w:next w:val="1"/>
    <w:uiPriority w:val="0"/>
    <w:pPr>
      <w:keepNext/>
      <w:keepLines/>
      <w:spacing w:before="240" w:after="80"/>
      <w:outlineLvl w:val="4"/>
    </w:pPr>
    <w:rPr>
      <w:color w:val="666666"/>
    </w:rPr>
  </w:style>
  <w:style w:type="paragraph" w:styleId="7">
    <w:name w:val="heading 6"/>
    <w:basedOn w:val="1"/>
    <w:next w:val="1"/>
    <w:uiPriority w:val="0"/>
    <w:pPr>
      <w:keepNext/>
      <w:keepLines/>
      <w:spacing w:before="240" w:after="80"/>
      <w:outlineLvl w:val="5"/>
    </w:pPr>
    <w:rPr>
      <w:i/>
      <w:color w:val="666666"/>
    </w:rPr>
  </w:style>
  <w:style w:type="character" w:default="1" w:styleId="16">
    <w:name w:val="Default Paragraph Font"/>
    <w:semiHidden/>
    <w:unhideWhenUsed/>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8">
    <w:name w:val="Balloon Text"/>
    <w:basedOn w:val="1"/>
    <w:link w:val="22"/>
    <w:semiHidden/>
    <w:unhideWhenUsed/>
    <w:uiPriority w:val="99"/>
    <w:pPr>
      <w:spacing w:line="240" w:lineRule="auto"/>
    </w:pPr>
    <w:rPr>
      <w:rFonts w:ascii="Tahoma" w:hAnsi="Tahoma" w:cs="Tahoma"/>
      <w:sz w:val="16"/>
      <w:szCs w:val="16"/>
    </w:rPr>
  </w:style>
  <w:style w:type="paragraph" w:styleId="9">
    <w:name w:val="annotation text"/>
    <w:basedOn w:val="1"/>
    <w:link w:val="21"/>
    <w:semiHidden/>
    <w:unhideWhenUsed/>
    <w:uiPriority w:val="99"/>
    <w:pPr>
      <w:spacing w:line="240" w:lineRule="auto"/>
    </w:pPr>
    <w:rPr>
      <w:sz w:val="20"/>
      <w:szCs w:val="20"/>
    </w:rPr>
  </w:style>
  <w:style w:type="paragraph" w:styleId="10">
    <w:name w:val="footer"/>
    <w:basedOn w:val="1"/>
    <w:link w:val="26"/>
    <w:unhideWhenUsed/>
    <w:uiPriority w:val="99"/>
    <w:pPr>
      <w:tabs>
        <w:tab w:val="center" w:pos="4680"/>
        <w:tab w:val="right" w:pos="9360"/>
      </w:tabs>
      <w:spacing w:line="240" w:lineRule="auto"/>
    </w:pPr>
  </w:style>
  <w:style w:type="paragraph" w:styleId="11">
    <w:name w:val="footnote text"/>
    <w:basedOn w:val="1"/>
    <w:link w:val="23"/>
    <w:semiHidden/>
    <w:unhideWhenUsed/>
    <w:uiPriority w:val="99"/>
    <w:pPr>
      <w:spacing w:line="240" w:lineRule="auto"/>
    </w:pPr>
    <w:rPr>
      <w:sz w:val="20"/>
      <w:szCs w:val="20"/>
    </w:rPr>
  </w:style>
  <w:style w:type="paragraph" w:styleId="12">
    <w:name w:val="header"/>
    <w:basedOn w:val="1"/>
    <w:link w:val="25"/>
    <w:semiHidden/>
    <w:unhideWhenUsed/>
    <w:uiPriority w:val="99"/>
    <w:pPr>
      <w:tabs>
        <w:tab w:val="center" w:pos="4680"/>
        <w:tab w:val="right" w:pos="9360"/>
      </w:tabs>
      <w:spacing w:line="240" w:lineRule="auto"/>
    </w:pPr>
  </w:style>
  <w:style w:type="paragraph" w:styleId="13">
    <w:name w:val="Subtitle"/>
    <w:basedOn w:val="1"/>
    <w:next w:val="1"/>
    <w:uiPriority w:val="0"/>
    <w:pPr>
      <w:keepNext/>
      <w:keepLines/>
      <w:spacing w:after="320"/>
    </w:pPr>
    <w:rPr>
      <w:color w:val="666666"/>
      <w:sz w:val="30"/>
      <w:szCs w:val="30"/>
    </w:rPr>
  </w:style>
  <w:style w:type="paragraph" w:styleId="14">
    <w:name w:val="Title"/>
    <w:basedOn w:val="1"/>
    <w:next w:val="1"/>
    <w:qFormat/>
    <w:uiPriority w:val="0"/>
    <w:pPr>
      <w:keepNext/>
      <w:keepLines/>
      <w:spacing w:after="60"/>
    </w:pPr>
    <w:rPr>
      <w:sz w:val="52"/>
      <w:szCs w:val="52"/>
    </w:rPr>
  </w:style>
  <w:style w:type="paragraph" w:styleId="15">
    <w:name w:val="toc 1"/>
    <w:basedOn w:val="1"/>
    <w:next w:val="1"/>
    <w:unhideWhenUsed/>
    <w:uiPriority w:val="39"/>
    <w:pPr>
      <w:spacing w:after="100"/>
    </w:pPr>
  </w:style>
  <w:style w:type="character" w:styleId="17">
    <w:name w:val="annotation reference"/>
    <w:basedOn w:val="16"/>
    <w:uiPriority w:val="0"/>
    <w:rPr>
      <w:sz w:val="16"/>
      <w:szCs w:val="16"/>
    </w:rPr>
  </w:style>
  <w:style w:type="character" w:styleId="18">
    <w:name w:val="footnote reference"/>
    <w:basedOn w:val="16"/>
    <w:semiHidden/>
    <w:unhideWhenUsed/>
    <w:uiPriority w:val="99"/>
    <w:rPr>
      <w:vertAlign w:val="superscript"/>
    </w:rPr>
  </w:style>
  <w:style w:type="character" w:styleId="19">
    <w:name w:val="Hyperlink"/>
    <w:basedOn w:val="16"/>
    <w:unhideWhenUsed/>
    <w:qFormat/>
    <w:uiPriority w:val="99"/>
    <w:rPr>
      <w:color w:val="0000FF" w:themeColor="hyperlink"/>
      <w:u w:val="single"/>
    </w:rPr>
  </w:style>
  <w:style w:type="character" w:customStyle="1" w:styleId="21">
    <w:name w:val="Comment Text Char"/>
    <w:basedOn w:val="16"/>
    <w:link w:val="9"/>
    <w:semiHidden/>
    <w:uiPriority w:val="99"/>
    <w:rPr>
      <w:sz w:val="20"/>
      <w:szCs w:val="20"/>
    </w:rPr>
  </w:style>
  <w:style w:type="character" w:customStyle="1" w:styleId="22">
    <w:name w:val="Balloon Text Char"/>
    <w:basedOn w:val="16"/>
    <w:link w:val="8"/>
    <w:semiHidden/>
    <w:uiPriority w:val="99"/>
    <w:rPr>
      <w:rFonts w:ascii="Tahoma" w:hAnsi="Tahoma" w:cs="Tahoma"/>
      <w:sz w:val="16"/>
      <w:szCs w:val="16"/>
    </w:rPr>
  </w:style>
  <w:style w:type="character" w:customStyle="1" w:styleId="23">
    <w:name w:val="Footnote Text Char"/>
    <w:basedOn w:val="16"/>
    <w:link w:val="11"/>
    <w:semiHidden/>
    <w:uiPriority w:val="99"/>
    <w:rPr>
      <w:sz w:val="20"/>
      <w:szCs w:val="20"/>
    </w:rPr>
  </w:style>
  <w:style w:type="paragraph" w:customStyle="1" w:styleId="24">
    <w:name w:val="TOC Heading"/>
    <w:basedOn w:val="2"/>
    <w:next w:val="1"/>
    <w:semiHidden/>
    <w:unhideWhenUsed/>
    <w:qFormat/>
    <w:uiPriority w:val="39"/>
    <w:pPr>
      <w:spacing w:before="480" w:after="0"/>
      <w:contextualSpacing w:val="0"/>
      <w:outlineLvl w:val="9"/>
    </w:pPr>
    <w:rPr>
      <w:rFonts w:asciiTheme="majorHAnsi" w:hAnsiTheme="majorHAnsi" w:eastAsiaTheme="majorEastAsia" w:cstheme="majorBidi"/>
      <w:bCs/>
      <w:color w:val="366091" w:themeColor="accent1" w:themeShade="BF"/>
      <w:sz w:val="28"/>
      <w:szCs w:val="28"/>
      <w:lang w:val="en-US"/>
    </w:rPr>
  </w:style>
  <w:style w:type="character" w:customStyle="1" w:styleId="25">
    <w:name w:val="Header Char"/>
    <w:basedOn w:val="16"/>
    <w:link w:val="12"/>
    <w:semiHidden/>
    <w:uiPriority w:val="99"/>
  </w:style>
  <w:style w:type="character" w:customStyle="1" w:styleId="26">
    <w:name w:val="Footer Char"/>
    <w:basedOn w:val="16"/>
    <w:link w:val="10"/>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C2DAC5-A17E-4008-ABD4-0638D6D0DE2E}">
  <ds:schemaRefs/>
</ds:datastoreItem>
</file>

<file path=docProps/app.xml><?xml version="1.0" encoding="utf-8"?>
<Properties xmlns="http://schemas.openxmlformats.org/officeDocument/2006/extended-properties" xmlns:vt="http://schemas.openxmlformats.org/officeDocument/2006/docPropsVTypes">
  <Template>Normal</Template>
  <Pages>8</Pages>
  <Words>1794</Words>
  <Characters>10227</Characters>
  <Lines>85</Lines>
  <Paragraphs>23</Paragraphs>
  <TotalTime>25</TotalTime>
  <ScaleCrop>false</ScaleCrop>
  <LinksUpToDate>false</LinksUpToDate>
  <CharactersWithSpaces>11998</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2018-10-09T08:41:00Z</dcterms:created>
  <dc:creator>ankita</dc:creator>
  <cp:lastModifiedBy>ankita</cp:lastModifiedBy>
  <dcterms:modified xsi:type="dcterms:W3CDTF">2019-07-11T10:21:31Z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